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7B23FC" w:rsidP="00A53B04">
            <w:pPr>
              <w:pStyle w:val="Infotext"/>
              <w:rPr>
                <w:rFonts w:ascii="Arial Black" w:hAnsi="Arial Black"/>
                <w:color w:val="999999"/>
                <w:sz w:val="36"/>
                <w:szCs w:val="36"/>
              </w:rPr>
            </w:pPr>
            <w:r>
              <w:rPr>
                <w:rFonts w:ascii="Arial Black" w:hAnsi="Arial Black"/>
                <w:color w:val="999999"/>
                <w:sz w:val="36"/>
                <w:szCs w:val="36"/>
              </w:rPr>
              <w:t xml:space="preserve">     </w:t>
            </w:r>
          </w:p>
          <w:p w:rsidR="007B23FC" w:rsidRDefault="0046541C"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inline distT="0" distB="0" distL="0" distR="0" wp14:anchorId="2DF4420D">
                  <wp:extent cx="2018030" cy="5060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506095"/>
                          </a:xfrm>
                          <a:prstGeom prst="rect">
                            <a:avLst/>
                          </a:prstGeom>
                          <a:noFill/>
                        </pic:spPr>
                      </pic:pic>
                    </a:graphicData>
                  </a:graphic>
                </wp:inline>
              </w:drawing>
            </w: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456"/>
        <w:gridCol w:w="5054"/>
      </w:tblGrid>
      <w:tr w:rsidR="00333FAA">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21422B" w:rsidP="0021422B">
            <w:pPr>
              <w:rPr>
                <w:rFonts w:cs="Arial"/>
                <w:szCs w:val="24"/>
              </w:rPr>
            </w:pPr>
            <w:r>
              <w:rPr>
                <w:rFonts w:cs="Arial"/>
                <w:szCs w:val="24"/>
              </w:rPr>
              <w:t>9</w:t>
            </w:r>
            <w:r w:rsidR="00105B2C">
              <w:rPr>
                <w:rFonts w:cs="Arial"/>
                <w:szCs w:val="24"/>
              </w:rPr>
              <w:t xml:space="preserve"> </w:t>
            </w:r>
            <w:r>
              <w:rPr>
                <w:rFonts w:cs="Arial"/>
                <w:szCs w:val="24"/>
              </w:rPr>
              <w:t xml:space="preserve">January </w:t>
            </w:r>
            <w:r w:rsidR="00105B2C">
              <w:rPr>
                <w:rFonts w:cs="Arial"/>
                <w:szCs w:val="24"/>
              </w:rPr>
              <w:t>20</w:t>
            </w:r>
            <w:r>
              <w:rPr>
                <w:rFonts w:cs="Arial"/>
                <w:szCs w:val="24"/>
              </w:rPr>
              <w:t>20</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105B2C" w:rsidP="0021422B">
            <w:pPr>
              <w:rPr>
                <w:rFonts w:cs="Arial"/>
                <w:szCs w:val="24"/>
              </w:rPr>
            </w:pPr>
            <w:r>
              <w:rPr>
                <w:rFonts w:cs="Arial"/>
                <w:szCs w:val="24"/>
              </w:rPr>
              <w:t>Draft Capital Programme 20</w:t>
            </w:r>
            <w:r w:rsidR="0021422B">
              <w:rPr>
                <w:rFonts w:cs="Arial"/>
                <w:szCs w:val="24"/>
              </w:rPr>
              <w:t>20</w:t>
            </w:r>
            <w:r>
              <w:rPr>
                <w:rFonts w:cs="Arial"/>
                <w:szCs w:val="24"/>
              </w:rPr>
              <w:t>/</w:t>
            </w:r>
            <w:r w:rsidR="00A81FAE">
              <w:rPr>
                <w:rFonts w:cs="Arial"/>
                <w:szCs w:val="24"/>
              </w:rPr>
              <w:t>2</w:t>
            </w:r>
            <w:r w:rsidR="0021422B">
              <w:rPr>
                <w:rFonts w:cs="Arial"/>
                <w:szCs w:val="24"/>
              </w:rPr>
              <w:t>1</w:t>
            </w:r>
            <w:r>
              <w:rPr>
                <w:rFonts w:cs="Arial"/>
                <w:szCs w:val="24"/>
              </w:rPr>
              <w:t xml:space="preserve"> to 20</w:t>
            </w:r>
            <w:r w:rsidR="009D42A5">
              <w:rPr>
                <w:rFonts w:cs="Arial"/>
                <w:szCs w:val="24"/>
              </w:rPr>
              <w:t>2</w:t>
            </w:r>
            <w:r w:rsidR="0021422B">
              <w:rPr>
                <w:rFonts w:cs="Arial"/>
                <w:szCs w:val="24"/>
              </w:rPr>
              <w:t>2</w:t>
            </w:r>
            <w:r>
              <w:rPr>
                <w:rFonts w:cs="Arial"/>
                <w:szCs w:val="24"/>
              </w:rPr>
              <w:t>/2</w:t>
            </w:r>
            <w:r w:rsidR="0021422B">
              <w:rPr>
                <w:rFonts w:cs="Arial"/>
                <w:szCs w:val="24"/>
              </w:rPr>
              <w:t>3</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1C7E35" w:rsidRDefault="001C7E35" w:rsidP="001C7E35">
            <w:pPr>
              <w:pStyle w:val="Infotext"/>
              <w:rPr>
                <w:rFonts w:cs="Arial"/>
                <w:sz w:val="24"/>
                <w:szCs w:val="24"/>
              </w:rPr>
            </w:pPr>
            <w:r w:rsidRPr="005E3A10">
              <w:rPr>
                <w:rFonts w:cs="Arial"/>
                <w:sz w:val="24"/>
                <w:szCs w:val="24"/>
              </w:rPr>
              <w:t xml:space="preserve">Yes </w:t>
            </w:r>
          </w:p>
          <w:p w:rsidR="00105B2C" w:rsidRPr="005E3A10" w:rsidRDefault="00105B2C" w:rsidP="001C7E35">
            <w:pPr>
              <w:pStyle w:val="Infotext"/>
              <w:rPr>
                <w:rFonts w:cs="Arial"/>
                <w:sz w:val="24"/>
                <w:szCs w:val="24"/>
              </w:rPr>
            </w:pPr>
            <w:r>
              <w:rPr>
                <w:rFonts w:cs="Arial"/>
                <w:sz w:val="24"/>
                <w:szCs w:val="24"/>
              </w:rPr>
              <w:t>Involves expenditure in excess of £1m</w:t>
            </w:r>
          </w:p>
          <w:p w:rsidR="00333FAA" w:rsidRPr="005E3A10" w:rsidRDefault="00333FAA" w:rsidP="00105B2C">
            <w:pPr>
              <w:pStyle w:val="Infotext"/>
              <w:rPr>
                <w:rFonts w:cs="Arial"/>
                <w:szCs w:val="24"/>
              </w:rPr>
            </w:pP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05B2C" w:rsidRDefault="00105B2C" w:rsidP="00D835CF">
            <w:pPr>
              <w:pStyle w:val="Infotext"/>
              <w:rPr>
                <w:rFonts w:cs="Arial"/>
                <w:sz w:val="24"/>
                <w:szCs w:val="24"/>
              </w:rPr>
            </w:pPr>
            <w:r>
              <w:rPr>
                <w:rFonts w:cs="Arial"/>
                <w:sz w:val="24"/>
                <w:szCs w:val="24"/>
              </w:rPr>
              <w:t>Dawn Calvert, Director of Finance</w:t>
            </w:r>
          </w:p>
          <w:p w:rsidR="001C7E35" w:rsidRPr="005E3A10" w:rsidRDefault="001C7E35" w:rsidP="00105B2C">
            <w:pPr>
              <w:pStyle w:val="Infotext"/>
              <w:rPr>
                <w:rFonts w:cs="Arial"/>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C7E35" w:rsidRPr="005E3A10" w:rsidRDefault="00105B2C" w:rsidP="005B5926">
            <w:pPr>
              <w:pStyle w:val="Infotext"/>
              <w:rPr>
                <w:rFonts w:cs="Arial"/>
                <w:color w:val="FF0000"/>
                <w:sz w:val="24"/>
                <w:szCs w:val="24"/>
              </w:rPr>
            </w:pPr>
            <w:r w:rsidRPr="00105B2C">
              <w:rPr>
                <w:rFonts w:cs="Arial"/>
                <w:sz w:val="24"/>
                <w:szCs w:val="24"/>
              </w:rPr>
              <w:t xml:space="preserve">Councillor </w:t>
            </w:r>
            <w:r w:rsidR="00461E22" w:rsidRPr="00461E22">
              <w:rPr>
                <w:rFonts w:cs="Arial"/>
                <w:sz w:val="24"/>
                <w:szCs w:val="24"/>
              </w:rPr>
              <w:t xml:space="preserve">Adam Swersky, Portfolio Holder for Finance and </w:t>
            </w:r>
            <w:r w:rsidR="005B5926">
              <w:rPr>
                <w:rFonts w:cs="Arial"/>
                <w:sz w:val="24"/>
                <w:szCs w:val="24"/>
              </w:rPr>
              <w:t>Resources</w:t>
            </w:r>
            <w:r w:rsidR="00461E22" w:rsidRPr="00461E22">
              <w:rPr>
                <w:rFonts w:cs="Arial"/>
                <w:sz w:val="24"/>
                <w:szCs w:val="24"/>
              </w:rPr>
              <w:t xml:space="preserve"> </w:t>
            </w: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1C7E35" w:rsidRPr="005E3A10" w:rsidRDefault="001C7E35" w:rsidP="00105B2C">
            <w:pPr>
              <w:pStyle w:val="Infotext"/>
              <w:rPr>
                <w:rFonts w:cs="Arial"/>
                <w:color w:val="FF0000"/>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 xml:space="preserve">Yes </w:t>
            </w:r>
          </w:p>
          <w:p w:rsidR="00714BEE" w:rsidRPr="005E3A10" w:rsidRDefault="00714BEE" w:rsidP="00105B2C">
            <w:pPr>
              <w:rPr>
                <w:rFonts w:cs="Arial"/>
                <w:szCs w:val="24"/>
              </w:rPr>
            </w:pPr>
          </w:p>
        </w:tc>
      </w:tr>
      <w:tr w:rsidR="001C7E35">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Pr="005E3A10" w:rsidRDefault="00105B2C" w:rsidP="00D835CF">
            <w:pPr>
              <w:rPr>
                <w:rFonts w:cs="Arial"/>
                <w:szCs w:val="24"/>
              </w:rPr>
            </w:pPr>
            <w:r>
              <w:rPr>
                <w:rFonts w:cs="Arial"/>
                <w:szCs w:val="24"/>
              </w:rPr>
              <w:t>All</w:t>
            </w: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05B2C" w:rsidRDefault="00105B2C" w:rsidP="00105B2C">
            <w:pPr>
              <w:pStyle w:val="Infotext"/>
              <w:rPr>
                <w:rFonts w:cs="Arial"/>
                <w:sz w:val="24"/>
                <w:szCs w:val="24"/>
              </w:rPr>
            </w:pPr>
            <w:r w:rsidRPr="00105B2C">
              <w:rPr>
                <w:rFonts w:cs="Arial"/>
                <w:sz w:val="24"/>
                <w:szCs w:val="24"/>
              </w:rPr>
              <w:t>Appendix 1 – Draft</w:t>
            </w:r>
            <w:r w:rsidR="00461E22">
              <w:rPr>
                <w:rFonts w:cs="Arial"/>
                <w:sz w:val="24"/>
                <w:szCs w:val="24"/>
              </w:rPr>
              <w:t xml:space="preserve">  </w:t>
            </w:r>
            <w:r w:rsidR="002F7710">
              <w:rPr>
                <w:rFonts w:cs="Arial"/>
                <w:sz w:val="24"/>
                <w:szCs w:val="24"/>
              </w:rPr>
              <w:t>New p</w:t>
            </w:r>
            <w:r w:rsidR="00461E22">
              <w:rPr>
                <w:rFonts w:cs="Arial"/>
                <w:sz w:val="24"/>
                <w:szCs w:val="24"/>
              </w:rPr>
              <w:t>ropos</w:t>
            </w:r>
            <w:r w:rsidR="002F7710">
              <w:rPr>
                <w:rFonts w:cs="Arial"/>
                <w:sz w:val="24"/>
                <w:szCs w:val="24"/>
              </w:rPr>
              <w:t>als</w:t>
            </w:r>
            <w:r w:rsidR="00461E22">
              <w:rPr>
                <w:rFonts w:cs="Arial"/>
                <w:sz w:val="24"/>
                <w:szCs w:val="24"/>
              </w:rPr>
              <w:t xml:space="preserve"> </w:t>
            </w:r>
            <w:r w:rsidR="002F7710">
              <w:rPr>
                <w:rFonts w:cs="Arial"/>
                <w:sz w:val="24"/>
                <w:szCs w:val="24"/>
              </w:rPr>
              <w:t xml:space="preserve">for </w:t>
            </w:r>
            <w:r w:rsidR="00E23647">
              <w:rPr>
                <w:rFonts w:cs="Arial"/>
                <w:sz w:val="24"/>
                <w:szCs w:val="24"/>
              </w:rPr>
              <w:t xml:space="preserve"> </w:t>
            </w:r>
            <w:r w:rsidR="00461E22">
              <w:rPr>
                <w:rFonts w:cs="Arial"/>
                <w:sz w:val="24"/>
                <w:szCs w:val="24"/>
              </w:rPr>
              <w:t>Capital</w:t>
            </w:r>
            <w:r w:rsidRPr="00105B2C">
              <w:rPr>
                <w:rFonts w:cs="Arial"/>
                <w:sz w:val="24"/>
                <w:szCs w:val="24"/>
              </w:rPr>
              <w:t xml:space="preserve"> Programme</w:t>
            </w:r>
            <w:r w:rsidR="00E23647">
              <w:rPr>
                <w:rFonts w:cs="Arial"/>
                <w:sz w:val="24"/>
                <w:szCs w:val="24"/>
              </w:rPr>
              <w:t xml:space="preserve"> 20</w:t>
            </w:r>
            <w:r w:rsidR="0021422B">
              <w:rPr>
                <w:rFonts w:cs="Arial"/>
                <w:sz w:val="24"/>
                <w:szCs w:val="24"/>
              </w:rPr>
              <w:t>20</w:t>
            </w:r>
            <w:r w:rsidR="00E23647">
              <w:rPr>
                <w:rFonts w:cs="Arial"/>
                <w:sz w:val="24"/>
                <w:szCs w:val="24"/>
              </w:rPr>
              <w:t>/</w:t>
            </w:r>
            <w:r w:rsidR="00A81FAE">
              <w:rPr>
                <w:rFonts w:cs="Arial"/>
                <w:sz w:val="24"/>
                <w:szCs w:val="24"/>
              </w:rPr>
              <w:t>2</w:t>
            </w:r>
            <w:r w:rsidR="0021422B">
              <w:rPr>
                <w:rFonts w:cs="Arial"/>
                <w:sz w:val="24"/>
                <w:szCs w:val="24"/>
              </w:rPr>
              <w:t>1</w:t>
            </w:r>
            <w:r w:rsidR="00E23647">
              <w:rPr>
                <w:rFonts w:cs="Arial"/>
                <w:sz w:val="24"/>
                <w:szCs w:val="24"/>
              </w:rPr>
              <w:t xml:space="preserve"> to 20</w:t>
            </w:r>
            <w:r w:rsidR="009D42A5">
              <w:rPr>
                <w:rFonts w:cs="Arial"/>
                <w:sz w:val="24"/>
                <w:szCs w:val="24"/>
              </w:rPr>
              <w:t>2</w:t>
            </w:r>
            <w:r w:rsidR="0021422B">
              <w:rPr>
                <w:rFonts w:cs="Arial"/>
                <w:sz w:val="24"/>
                <w:szCs w:val="24"/>
              </w:rPr>
              <w:t>2</w:t>
            </w:r>
            <w:r w:rsidR="00E23647">
              <w:rPr>
                <w:rFonts w:cs="Arial"/>
                <w:sz w:val="24"/>
                <w:szCs w:val="24"/>
              </w:rPr>
              <w:t>/2</w:t>
            </w:r>
            <w:r w:rsidR="0021422B">
              <w:rPr>
                <w:rFonts w:cs="Arial"/>
                <w:sz w:val="24"/>
                <w:szCs w:val="24"/>
              </w:rPr>
              <w:t>3</w:t>
            </w:r>
          </w:p>
          <w:p w:rsidR="002F7710" w:rsidRDefault="002F7710" w:rsidP="00105B2C">
            <w:pPr>
              <w:pStyle w:val="Infotext"/>
              <w:rPr>
                <w:rFonts w:cs="Arial"/>
                <w:sz w:val="24"/>
                <w:szCs w:val="24"/>
              </w:rPr>
            </w:pPr>
          </w:p>
          <w:p w:rsidR="00E23647" w:rsidRPr="00105B2C" w:rsidRDefault="00E23647" w:rsidP="00105B2C">
            <w:pPr>
              <w:pStyle w:val="Infotext"/>
              <w:rPr>
                <w:rFonts w:cs="Arial"/>
                <w:sz w:val="24"/>
                <w:szCs w:val="24"/>
              </w:rPr>
            </w:pPr>
          </w:p>
          <w:p w:rsidR="005B32A5" w:rsidRDefault="005B32A5" w:rsidP="00105B2C">
            <w:pPr>
              <w:pStyle w:val="Infotext"/>
              <w:rPr>
                <w:rFonts w:cs="Arial"/>
                <w:sz w:val="24"/>
                <w:szCs w:val="24"/>
              </w:rPr>
            </w:pPr>
          </w:p>
          <w:p w:rsidR="005B32A5" w:rsidRDefault="005B32A5" w:rsidP="00105B2C">
            <w:pPr>
              <w:pStyle w:val="Infotext"/>
              <w:rPr>
                <w:rFonts w:cs="Arial"/>
                <w:sz w:val="24"/>
                <w:szCs w:val="24"/>
              </w:rPr>
            </w:pPr>
          </w:p>
          <w:p w:rsidR="00D27997" w:rsidRPr="005E3A10" w:rsidRDefault="00D27997" w:rsidP="00105B2C">
            <w:pPr>
              <w:pStyle w:val="Infotext"/>
              <w:rPr>
                <w:color w:val="FF0000"/>
                <w:sz w:val="24"/>
                <w:szCs w:val="24"/>
              </w:rPr>
            </w:pPr>
          </w:p>
        </w:tc>
      </w:tr>
    </w:tbl>
    <w:p w:rsidR="00333FAA" w:rsidRDefault="00333FAA"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46541C" w:rsidRDefault="0046541C" w:rsidP="00333FAA">
      <w:pPr>
        <w:rPr>
          <w:rFonts w:cs="Arial"/>
        </w:rPr>
      </w:pPr>
    </w:p>
    <w:p w:rsidR="00B57442" w:rsidRDefault="00B57442" w:rsidP="00333FAA">
      <w:pPr>
        <w:rPr>
          <w:rFonts w:cs="Arial"/>
        </w:rPr>
      </w:pPr>
    </w:p>
    <w:p w:rsidR="00B57442" w:rsidRDefault="00B57442"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lastRenderedPageBreak/>
              <w:t>Section 1 – Summary and Recommendations</w:t>
            </w:r>
          </w:p>
          <w:p w:rsidR="00333FAA" w:rsidRDefault="00333FAA" w:rsidP="00A53B04"/>
        </w:tc>
      </w:tr>
      <w:tr w:rsidR="00333FAA">
        <w:tc>
          <w:tcPr>
            <w:tcW w:w="8525" w:type="dxa"/>
          </w:tcPr>
          <w:p w:rsidR="00333FAA" w:rsidRDefault="00333FAA" w:rsidP="00A53B04"/>
          <w:p w:rsidR="00105B2C" w:rsidRPr="00C3471E" w:rsidRDefault="00105B2C" w:rsidP="00105B2C">
            <w:pPr>
              <w:rPr>
                <w:i/>
                <w:color w:val="1F497D" w:themeColor="text2"/>
              </w:rPr>
            </w:pPr>
            <w:r w:rsidRPr="00830C10">
              <w:rPr>
                <w:rFonts w:cs="Arial"/>
                <w:szCs w:val="24"/>
              </w:rPr>
              <w:t xml:space="preserve">This report sets out the </w:t>
            </w:r>
            <w:r w:rsidR="00B57442">
              <w:rPr>
                <w:rFonts w:cs="Arial"/>
                <w:szCs w:val="24"/>
              </w:rPr>
              <w:t xml:space="preserve">new </w:t>
            </w:r>
            <w:r w:rsidR="009D4BC8">
              <w:rPr>
                <w:rFonts w:cs="Arial"/>
                <w:szCs w:val="24"/>
              </w:rPr>
              <w:t xml:space="preserve">draft </w:t>
            </w:r>
            <w:r w:rsidR="005B32A5">
              <w:rPr>
                <w:rFonts w:cs="Arial"/>
                <w:szCs w:val="24"/>
              </w:rPr>
              <w:t xml:space="preserve">General Fund </w:t>
            </w:r>
            <w:r w:rsidR="00B57442">
              <w:rPr>
                <w:rFonts w:cs="Arial"/>
                <w:szCs w:val="24"/>
              </w:rPr>
              <w:t xml:space="preserve">capital </w:t>
            </w:r>
            <w:r w:rsidR="00845E35">
              <w:rPr>
                <w:rFonts w:cs="Arial"/>
                <w:szCs w:val="24"/>
              </w:rPr>
              <w:t xml:space="preserve">programme </w:t>
            </w:r>
            <w:r w:rsidR="00F70007">
              <w:rPr>
                <w:rFonts w:cs="Arial"/>
                <w:szCs w:val="24"/>
              </w:rPr>
              <w:t xml:space="preserve">proposals </w:t>
            </w:r>
            <w:r w:rsidR="00845E35">
              <w:rPr>
                <w:rFonts w:cs="Arial"/>
                <w:szCs w:val="24"/>
              </w:rPr>
              <w:t>which</w:t>
            </w:r>
            <w:r w:rsidR="00B57442">
              <w:rPr>
                <w:rFonts w:cs="Arial"/>
                <w:szCs w:val="24"/>
              </w:rPr>
              <w:t xml:space="preserve"> have been proposed as part of the </w:t>
            </w:r>
            <w:r w:rsidR="00DE6A36">
              <w:rPr>
                <w:rFonts w:cs="Arial"/>
                <w:szCs w:val="24"/>
              </w:rPr>
              <w:t>20</w:t>
            </w:r>
            <w:r w:rsidR="0021422B">
              <w:rPr>
                <w:rFonts w:cs="Arial"/>
                <w:szCs w:val="24"/>
              </w:rPr>
              <w:t>20</w:t>
            </w:r>
            <w:r w:rsidR="00DE6A36">
              <w:rPr>
                <w:rFonts w:cs="Arial"/>
                <w:szCs w:val="24"/>
              </w:rPr>
              <w:t>/</w:t>
            </w:r>
            <w:r w:rsidR="00A81FAE">
              <w:rPr>
                <w:rFonts w:cs="Arial"/>
                <w:szCs w:val="24"/>
              </w:rPr>
              <w:t>2</w:t>
            </w:r>
            <w:r w:rsidR="0021422B">
              <w:rPr>
                <w:rFonts w:cs="Arial"/>
                <w:szCs w:val="24"/>
              </w:rPr>
              <w:t>1</w:t>
            </w:r>
            <w:r w:rsidR="00DE6A36">
              <w:rPr>
                <w:rFonts w:cs="Arial"/>
                <w:szCs w:val="24"/>
              </w:rPr>
              <w:t xml:space="preserve"> budget</w:t>
            </w:r>
            <w:r w:rsidR="000232EB">
              <w:rPr>
                <w:rFonts w:cs="Arial"/>
                <w:szCs w:val="24"/>
              </w:rPr>
              <w:t>.</w:t>
            </w:r>
            <w:r w:rsidR="00DE6A36">
              <w:rPr>
                <w:rFonts w:cs="Arial"/>
                <w:szCs w:val="24"/>
              </w:rPr>
              <w:t xml:space="preserve"> </w:t>
            </w:r>
          </w:p>
          <w:p w:rsidR="00105B2C" w:rsidRPr="00830C10" w:rsidRDefault="00105B2C" w:rsidP="00105B2C">
            <w:pPr>
              <w:pStyle w:val="Heading2"/>
            </w:pPr>
          </w:p>
          <w:p w:rsidR="00105B2C" w:rsidRPr="00830C10" w:rsidRDefault="00105B2C" w:rsidP="00105B2C">
            <w:pPr>
              <w:pStyle w:val="Heading2"/>
            </w:pPr>
            <w:r w:rsidRPr="00830C10">
              <w:t xml:space="preserve">Recommendations: </w:t>
            </w:r>
          </w:p>
          <w:p w:rsidR="00845E35" w:rsidRDefault="00105B2C" w:rsidP="00C64714">
            <w:pPr>
              <w:pStyle w:val="ListParagraph"/>
              <w:numPr>
                <w:ilvl w:val="0"/>
                <w:numId w:val="38"/>
              </w:numPr>
              <w:rPr>
                <w:rFonts w:cs="Arial"/>
                <w:szCs w:val="24"/>
              </w:rPr>
            </w:pPr>
            <w:r w:rsidRPr="00830C10">
              <w:t>Cabinet is requested to</w:t>
            </w:r>
            <w:r w:rsidRPr="009D4BC8">
              <w:rPr>
                <w:rFonts w:cs="Arial"/>
                <w:szCs w:val="24"/>
              </w:rPr>
              <w:t xml:space="preserve"> </w:t>
            </w:r>
            <w:r w:rsidR="009D4BC8">
              <w:rPr>
                <w:rFonts w:cs="Arial"/>
                <w:szCs w:val="24"/>
              </w:rPr>
              <w:t xml:space="preserve">note </w:t>
            </w:r>
            <w:r w:rsidRPr="009D4BC8">
              <w:rPr>
                <w:rFonts w:cs="Arial"/>
                <w:szCs w:val="24"/>
              </w:rPr>
              <w:t xml:space="preserve">the </w:t>
            </w:r>
            <w:r w:rsidR="00B57442" w:rsidRPr="009D4BC8">
              <w:rPr>
                <w:rFonts w:cs="Arial"/>
                <w:szCs w:val="24"/>
              </w:rPr>
              <w:t xml:space="preserve">new </w:t>
            </w:r>
            <w:r w:rsidRPr="009D4BC8">
              <w:rPr>
                <w:rFonts w:cs="Arial"/>
                <w:szCs w:val="24"/>
              </w:rPr>
              <w:t>draft capital pro</w:t>
            </w:r>
            <w:r w:rsidR="00B57442" w:rsidRPr="009D4BC8">
              <w:rPr>
                <w:rFonts w:cs="Arial"/>
                <w:szCs w:val="24"/>
              </w:rPr>
              <w:t>posals</w:t>
            </w:r>
            <w:r w:rsidRPr="009D4BC8">
              <w:rPr>
                <w:rFonts w:cs="Arial"/>
                <w:szCs w:val="24"/>
              </w:rPr>
              <w:t xml:space="preserve">, as detailed within Appendix </w:t>
            </w:r>
            <w:r w:rsidR="00B57442" w:rsidRPr="009D4BC8">
              <w:rPr>
                <w:rFonts w:cs="Arial"/>
                <w:szCs w:val="24"/>
              </w:rPr>
              <w:t>1</w:t>
            </w:r>
            <w:r w:rsidR="005B5926">
              <w:rPr>
                <w:rFonts w:cs="Arial"/>
                <w:szCs w:val="24"/>
              </w:rPr>
              <w:t>,</w:t>
            </w:r>
            <w:r w:rsidR="000D2FDD">
              <w:rPr>
                <w:rFonts w:cs="Arial"/>
                <w:szCs w:val="24"/>
              </w:rPr>
              <w:t xml:space="preserve"> </w:t>
            </w:r>
            <w:r w:rsidR="009D4BC8">
              <w:rPr>
                <w:rFonts w:cs="Arial"/>
                <w:szCs w:val="24"/>
              </w:rPr>
              <w:t>which will be brought back to Cabinet in February for approval</w:t>
            </w:r>
            <w:r w:rsidR="003856CD">
              <w:rPr>
                <w:rFonts w:cs="Arial"/>
                <w:szCs w:val="24"/>
              </w:rPr>
              <w:t>.</w:t>
            </w:r>
          </w:p>
          <w:p w:rsidR="006503B0" w:rsidRPr="000232EB" w:rsidRDefault="006503B0" w:rsidP="000232EB">
            <w:pPr>
              <w:ind w:left="360"/>
              <w:rPr>
                <w:rFonts w:cs="Arial"/>
                <w:szCs w:val="24"/>
              </w:rPr>
            </w:pPr>
          </w:p>
          <w:p w:rsidR="00105B2C" w:rsidRPr="009D4BC8" w:rsidRDefault="00105B2C" w:rsidP="00C64714">
            <w:pPr>
              <w:pStyle w:val="ListParagraph"/>
              <w:rPr>
                <w:rFonts w:cs="Arial"/>
                <w:szCs w:val="24"/>
              </w:rPr>
            </w:pPr>
            <w:r w:rsidRPr="009D4BC8">
              <w:rPr>
                <w:rFonts w:cs="Arial"/>
                <w:szCs w:val="24"/>
              </w:rPr>
              <w:t xml:space="preserve">The final version </w:t>
            </w:r>
            <w:r w:rsidR="009D4BC8">
              <w:rPr>
                <w:rFonts w:cs="Arial"/>
                <w:szCs w:val="24"/>
              </w:rPr>
              <w:t>of the Capital Programme 20</w:t>
            </w:r>
            <w:r w:rsidR="0021422B">
              <w:rPr>
                <w:rFonts w:cs="Arial"/>
                <w:szCs w:val="24"/>
              </w:rPr>
              <w:t>20</w:t>
            </w:r>
            <w:r w:rsidR="009D4BC8">
              <w:rPr>
                <w:rFonts w:cs="Arial"/>
                <w:szCs w:val="24"/>
              </w:rPr>
              <w:t>/</w:t>
            </w:r>
            <w:r w:rsidR="00A81FAE">
              <w:rPr>
                <w:rFonts w:cs="Arial"/>
                <w:szCs w:val="24"/>
              </w:rPr>
              <w:t>2</w:t>
            </w:r>
            <w:r w:rsidR="0021422B">
              <w:rPr>
                <w:rFonts w:cs="Arial"/>
                <w:szCs w:val="24"/>
              </w:rPr>
              <w:t>1</w:t>
            </w:r>
            <w:r w:rsidR="009D4BC8">
              <w:rPr>
                <w:rFonts w:cs="Arial"/>
                <w:szCs w:val="24"/>
              </w:rPr>
              <w:t xml:space="preserve"> to 20</w:t>
            </w:r>
            <w:r w:rsidR="009D42A5">
              <w:rPr>
                <w:rFonts w:cs="Arial"/>
                <w:szCs w:val="24"/>
              </w:rPr>
              <w:t>2</w:t>
            </w:r>
            <w:r w:rsidR="0021422B">
              <w:rPr>
                <w:rFonts w:cs="Arial"/>
                <w:szCs w:val="24"/>
              </w:rPr>
              <w:t>2</w:t>
            </w:r>
            <w:r w:rsidR="009D4BC8">
              <w:rPr>
                <w:rFonts w:cs="Arial"/>
                <w:szCs w:val="24"/>
              </w:rPr>
              <w:t>/2</w:t>
            </w:r>
            <w:r w:rsidR="0021422B">
              <w:rPr>
                <w:rFonts w:cs="Arial"/>
                <w:szCs w:val="24"/>
              </w:rPr>
              <w:t>3</w:t>
            </w:r>
            <w:r w:rsidR="009D4BC8">
              <w:rPr>
                <w:rFonts w:cs="Arial"/>
                <w:szCs w:val="24"/>
              </w:rPr>
              <w:t xml:space="preserve"> </w:t>
            </w:r>
            <w:r w:rsidRPr="009D4BC8">
              <w:rPr>
                <w:rFonts w:cs="Arial"/>
                <w:szCs w:val="24"/>
              </w:rPr>
              <w:t>will be brought back to Cabinet in February</w:t>
            </w:r>
            <w:r w:rsidR="005867D6" w:rsidRPr="009D4BC8">
              <w:rPr>
                <w:rFonts w:cs="Arial"/>
                <w:szCs w:val="24"/>
              </w:rPr>
              <w:t xml:space="preserve"> </w:t>
            </w:r>
            <w:r w:rsidR="007F4BDA" w:rsidRPr="009D4BC8">
              <w:rPr>
                <w:rFonts w:cs="Arial"/>
                <w:szCs w:val="24"/>
              </w:rPr>
              <w:t xml:space="preserve">for recommendation to </w:t>
            </w:r>
            <w:r w:rsidR="005A0FFD" w:rsidRPr="009D4BC8">
              <w:rPr>
                <w:rFonts w:cs="Arial"/>
                <w:szCs w:val="24"/>
              </w:rPr>
              <w:t>Council in February.</w:t>
            </w:r>
          </w:p>
          <w:p w:rsidR="006D68FB" w:rsidRPr="00830C10" w:rsidRDefault="006D68FB" w:rsidP="00105B2C"/>
          <w:p w:rsidR="00333FAA" w:rsidRDefault="00105B2C" w:rsidP="001E570C">
            <w:pPr>
              <w:pStyle w:val="Heading2"/>
            </w:pPr>
            <w:r w:rsidRPr="00830C10">
              <w:t xml:space="preserve">Reason:  </w:t>
            </w:r>
            <w:r w:rsidRPr="00830C10">
              <w:rPr>
                <w:b w:val="0"/>
                <w:sz w:val="24"/>
                <w:szCs w:val="24"/>
              </w:rPr>
              <w:t xml:space="preserve">To enable the Council to have an approved </w:t>
            </w:r>
            <w:r w:rsidR="005B5926">
              <w:rPr>
                <w:b w:val="0"/>
                <w:sz w:val="24"/>
                <w:szCs w:val="24"/>
              </w:rPr>
              <w:t>C</w:t>
            </w:r>
            <w:r w:rsidRPr="00830C10">
              <w:rPr>
                <w:b w:val="0"/>
                <w:sz w:val="24"/>
                <w:szCs w:val="24"/>
              </w:rPr>
              <w:t xml:space="preserve">apital </w:t>
            </w:r>
            <w:r w:rsidR="005B5926">
              <w:rPr>
                <w:b w:val="0"/>
                <w:sz w:val="24"/>
                <w:szCs w:val="24"/>
              </w:rPr>
              <w:t>P</w:t>
            </w:r>
            <w:r w:rsidRPr="00830C10">
              <w:rPr>
                <w:b w:val="0"/>
                <w:sz w:val="24"/>
                <w:szCs w:val="24"/>
              </w:rPr>
              <w:t>rogramme for 20</w:t>
            </w:r>
            <w:r w:rsidR="001E570C">
              <w:rPr>
                <w:b w:val="0"/>
                <w:sz w:val="24"/>
                <w:szCs w:val="24"/>
              </w:rPr>
              <w:t>20</w:t>
            </w:r>
            <w:r w:rsidR="00B4220B">
              <w:rPr>
                <w:b w:val="0"/>
                <w:sz w:val="24"/>
                <w:szCs w:val="24"/>
              </w:rPr>
              <w:t>/</w:t>
            </w:r>
            <w:r w:rsidR="00A81FAE">
              <w:rPr>
                <w:b w:val="0"/>
                <w:sz w:val="24"/>
                <w:szCs w:val="24"/>
              </w:rPr>
              <w:t>2</w:t>
            </w:r>
            <w:r w:rsidR="001E570C">
              <w:rPr>
                <w:b w:val="0"/>
                <w:sz w:val="24"/>
                <w:szCs w:val="24"/>
              </w:rPr>
              <w:t>1</w:t>
            </w:r>
            <w:r w:rsidRPr="00830C10">
              <w:rPr>
                <w:b w:val="0"/>
                <w:sz w:val="24"/>
                <w:szCs w:val="24"/>
              </w:rPr>
              <w:t xml:space="preserve"> </w:t>
            </w:r>
            <w:r>
              <w:rPr>
                <w:b w:val="0"/>
                <w:sz w:val="24"/>
                <w:szCs w:val="24"/>
              </w:rPr>
              <w:t>to 20</w:t>
            </w:r>
            <w:r w:rsidR="009D42A5">
              <w:rPr>
                <w:b w:val="0"/>
                <w:sz w:val="24"/>
                <w:szCs w:val="24"/>
              </w:rPr>
              <w:t>2</w:t>
            </w:r>
            <w:r w:rsidR="001E570C">
              <w:rPr>
                <w:b w:val="0"/>
                <w:sz w:val="24"/>
                <w:szCs w:val="24"/>
              </w:rPr>
              <w:t>2</w:t>
            </w:r>
            <w:r>
              <w:rPr>
                <w:b w:val="0"/>
                <w:sz w:val="24"/>
                <w:szCs w:val="24"/>
              </w:rPr>
              <w:t>/</w:t>
            </w:r>
            <w:r w:rsidR="002478C4">
              <w:rPr>
                <w:b w:val="0"/>
                <w:sz w:val="24"/>
                <w:szCs w:val="24"/>
              </w:rPr>
              <w:t>2</w:t>
            </w:r>
            <w:r w:rsidR="001E570C">
              <w:rPr>
                <w:b w:val="0"/>
                <w:sz w:val="24"/>
                <w:szCs w:val="24"/>
              </w:rPr>
              <w:t>3</w:t>
            </w:r>
            <w:r w:rsidR="008E2023">
              <w:rPr>
                <w:b w:val="0"/>
                <w:sz w:val="24"/>
                <w:szCs w:val="24"/>
              </w:rPr>
              <w:t>.</w:t>
            </w:r>
          </w:p>
        </w:tc>
      </w:tr>
    </w:tbl>
    <w:p w:rsidR="00333FAA" w:rsidRDefault="00333FAA" w:rsidP="00333FAA">
      <w:pPr>
        <w:pStyle w:val="Heading1"/>
        <w:rPr>
          <w:rFonts w:ascii="Arial" w:hAnsi="Arial"/>
          <w:sz w:val="24"/>
          <w:szCs w:val="24"/>
        </w:rPr>
      </w:pPr>
    </w:p>
    <w:p w:rsidR="006716D2" w:rsidRDefault="006716D2" w:rsidP="00A26B10"/>
    <w:p w:rsidR="006716D2" w:rsidRPr="00AB4880" w:rsidRDefault="006716D2" w:rsidP="00A26B10"/>
    <w:p w:rsidR="00333FAA" w:rsidRDefault="00333FAA" w:rsidP="00333FAA">
      <w:pPr>
        <w:pStyle w:val="Heading1"/>
      </w:pPr>
      <w:r>
        <w:t>Section 2 – Report</w:t>
      </w:r>
    </w:p>
    <w:p w:rsidR="005867D6" w:rsidRDefault="005867D6" w:rsidP="00105B2C">
      <w:pPr>
        <w:jc w:val="both"/>
        <w:rPr>
          <w:rFonts w:cs="Arial"/>
          <w:szCs w:val="24"/>
          <w:u w:val="single"/>
        </w:rPr>
      </w:pPr>
    </w:p>
    <w:p w:rsidR="00105B2C" w:rsidRPr="000232EB" w:rsidRDefault="00105B2C" w:rsidP="005867D6">
      <w:pPr>
        <w:ind w:firstLine="567"/>
        <w:jc w:val="both"/>
        <w:rPr>
          <w:rFonts w:cs="Arial"/>
          <w:b/>
          <w:szCs w:val="24"/>
        </w:rPr>
      </w:pPr>
      <w:r w:rsidRPr="000232EB">
        <w:rPr>
          <w:rFonts w:cs="Arial"/>
          <w:b/>
          <w:szCs w:val="24"/>
        </w:rPr>
        <w:t>Development of the Capital Programme</w:t>
      </w:r>
    </w:p>
    <w:p w:rsidR="001E570C" w:rsidRPr="000232EB" w:rsidRDefault="001E570C" w:rsidP="001E570C">
      <w:pPr>
        <w:numPr>
          <w:ilvl w:val="0"/>
          <w:numId w:val="27"/>
        </w:numPr>
        <w:tabs>
          <w:tab w:val="clear" w:pos="360"/>
          <w:tab w:val="num" w:pos="1276"/>
        </w:tabs>
        <w:spacing w:after="120"/>
        <w:ind w:left="567" w:hanging="567"/>
        <w:jc w:val="both"/>
        <w:rPr>
          <w:rFonts w:cs="Arial"/>
          <w:szCs w:val="24"/>
        </w:rPr>
      </w:pPr>
      <w:r w:rsidRPr="000232EB">
        <w:rPr>
          <w:rFonts w:cs="Arial"/>
          <w:szCs w:val="24"/>
        </w:rPr>
        <w:t xml:space="preserve">The purpose of this draft Capital Programme report is to set out the Council’s draft additional capital proposals for investment over the next three years 2020/21 to 2022/23 which have been proposed as part of the Annual budget setting process.  </w:t>
      </w:r>
    </w:p>
    <w:p w:rsidR="001E570C" w:rsidRDefault="001E570C" w:rsidP="001E570C">
      <w:pPr>
        <w:numPr>
          <w:ilvl w:val="0"/>
          <w:numId w:val="27"/>
        </w:numPr>
        <w:tabs>
          <w:tab w:val="clear" w:pos="360"/>
          <w:tab w:val="num" w:pos="1276"/>
        </w:tabs>
        <w:spacing w:after="120"/>
        <w:ind w:left="567" w:hanging="567"/>
        <w:jc w:val="both"/>
        <w:rPr>
          <w:rFonts w:cs="Arial"/>
          <w:szCs w:val="24"/>
        </w:rPr>
      </w:pPr>
      <w:r w:rsidRPr="00B14937">
        <w:rPr>
          <w:rFonts w:cs="Arial"/>
          <w:szCs w:val="24"/>
        </w:rPr>
        <w:t>The final Capital programme report which will be presented to Cabinet in February 20</w:t>
      </w:r>
      <w:r>
        <w:rPr>
          <w:rFonts w:cs="Arial"/>
          <w:szCs w:val="24"/>
        </w:rPr>
        <w:t>20</w:t>
      </w:r>
      <w:r w:rsidRPr="00B14937">
        <w:rPr>
          <w:rFonts w:cs="Arial"/>
          <w:szCs w:val="24"/>
        </w:rPr>
        <w:t xml:space="preserve"> will show the total Capital Programme for 20</w:t>
      </w:r>
      <w:r>
        <w:rPr>
          <w:rFonts w:cs="Arial"/>
          <w:szCs w:val="24"/>
        </w:rPr>
        <w:t>20/21</w:t>
      </w:r>
      <w:r w:rsidRPr="00B14937">
        <w:rPr>
          <w:rFonts w:cs="Arial"/>
          <w:szCs w:val="24"/>
        </w:rPr>
        <w:t xml:space="preserve"> to 20</w:t>
      </w:r>
      <w:r>
        <w:rPr>
          <w:rFonts w:cs="Arial"/>
          <w:szCs w:val="24"/>
        </w:rPr>
        <w:t>22</w:t>
      </w:r>
      <w:r w:rsidRPr="00B14937">
        <w:rPr>
          <w:rFonts w:cs="Arial"/>
          <w:szCs w:val="24"/>
        </w:rPr>
        <w:t>/2</w:t>
      </w:r>
      <w:r>
        <w:rPr>
          <w:rFonts w:cs="Arial"/>
          <w:szCs w:val="24"/>
        </w:rPr>
        <w:t>3</w:t>
      </w:r>
      <w:r w:rsidRPr="00B14937">
        <w:rPr>
          <w:rFonts w:cs="Arial"/>
          <w:szCs w:val="24"/>
        </w:rPr>
        <w:t xml:space="preserve"> incorporating the new capital proposals as well as the </w:t>
      </w:r>
      <w:proofErr w:type="spellStart"/>
      <w:r w:rsidRPr="00B14937">
        <w:rPr>
          <w:rFonts w:cs="Arial"/>
          <w:szCs w:val="24"/>
        </w:rPr>
        <w:t>reprofiling</w:t>
      </w:r>
      <w:proofErr w:type="spellEnd"/>
      <w:r w:rsidRPr="00B14937">
        <w:rPr>
          <w:rFonts w:cs="Arial"/>
          <w:szCs w:val="24"/>
        </w:rPr>
        <w:t xml:space="preserve"> of existing capital budgets</w:t>
      </w:r>
      <w:r>
        <w:rPr>
          <w:rFonts w:cs="Arial"/>
          <w:szCs w:val="24"/>
        </w:rPr>
        <w:t>.</w:t>
      </w:r>
    </w:p>
    <w:p w:rsidR="006B5039" w:rsidRDefault="006B5039" w:rsidP="006B5039">
      <w:pPr>
        <w:spacing w:after="120"/>
        <w:ind w:left="567"/>
        <w:jc w:val="both"/>
        <w:rPr>
          <w:rFonts w:cs="Arial"/>
          <w:szCs w:val="24"/>
        </w:rPr>
      </w:pPr>
    </w:p>
    <w:p w:rsidR="002640D2" w:rsidRPr="000C14C9" w:rsidRDefault="005867D6" w:rsidP="00EA216C">
      <w:pPr>
        <w:ind w:left="567"/>
        <w:jc w:val="both"/>
        <w:rPr>
          <w:rFonts w:cs="Arial"/>
          <w:b/>
          <w:szCs w:val="24"/>
        </w:rPr>
      </w:pPr>
      <w:r w:rsidRPr="000C14C9">
        <w:rPr>
          <w:rFonts w:cs="Arial"/>
          <w:b/>
          <w:szCs w:val="24"/>
        </w:rPr>
        <w:t>New Capital proposals 20</w:t>
      </w:r>
      <w:r w:rsidR="001E570C">
        <w:rPr>
          <w:rFonts w:cs="Arial"/>
          <w:b/>
          <w:szCs w:val="24"/>
        </w:rPr>
        <w:t>20</w:t>
      </w:r>
      <w:r w:rsidRPr="000C14C9">
        <w:rPr>
          <w:rFonts w:cs="Arial"/>
          <w:b/>
          <w:szCs w:val="24"/>
        </w:rPr>
        <w:t>/</w:t>
      </w:r>
      <w:r w:rsidR="00A81FAE">
        <w:rPr>
          <w:rFonts w:cs="Arial"/>
          <w:b/>
          <w:szCs w:val="24"/>
        </w:rPr>
        <w:t>2</w:t>
      </w:r>
      <w:r w:rsidR="001E570C">
        <w:rPr>
          <w:rFonts w:cs="Arial"/>
          <w:b/>
          <w:szCs w:val="24"/>
        </w:rPr>
        <w:t>1</w:t>
      </w:r>
      <w:r w:rsidRPr="000C14C9">
        <w:rPr>
          <w:rFonts w:cs="Arial"/>
          <w:b/>
          <w:szCs w:val="24"/>
        </w:rPr>
        <w:t xml:space="preserve"> to 20</w:t>
      </w:r>
      <w:r w:rsidR="009D42A5">
        <w:rPr>
          <w:rFonts w:cs="Arial"/>
          <w:b/>
          <w:szCs w:val="24"/>
        </w:rPr>
        <w:t>2</w:t>
      </w:r>
      <w:r w:rsidR="001E570C">
        <w:rPr>
          <w:rFonts w:cs="Arial"/>
          <w:b/>
          <w:szCs w:val="24"/>
        </w:rPr>
        <w:t>2</w:t>
      </w:r>
      <w:r w:rsidRPr="000C14C9">
        <w:rPr>
          <w:rFonts w:cs="Arial"/>
          <w:b/>
          <w:szCs w:val="24"/>
        </w:rPr>
        <w:t>/2</w:t>
      </w:r>
      <w:r w:rsidR="001E570C">
        <w:rPr>
          <w:rFonts w:cs="Arial"/>
          <w:b/>
          <w:szCs w:val="24"/>
        </w:rPr>
        <w:t>3</w:t>
      </w:r>
    </w:p>
    <w:p w:rsidR="00B67C31" w:rsidRPr="001E570C" w:rsidRDefault="00105B2C" w:rsidP="00105B2C">
      <w:pPr>
        <w:numPr>
          <w:ilvl w:val="0"/>
          <w:numId w:val="27"/>
        </w:numPr>
        <w:tabs>
          <w:tab w:val="clear" w:pos="360"/>
          <w:tab w:val="num" w:pos="567"/>
          <w:tab w:val="num" w:pos="1985"/>
        </w:tabs>
        <w:ind w:left="567" w:hanging="567"/>
        <w:jc w:val="both"/>
        <w:rPr>
          <w:rFonts w:cs="Arial"/>
          <w:szCs w:val="24"/>
        </w:rPr>
      </w:pPr>
      <w:r w:rsidRPr="001E570C">
        <w:rPr>
          <w:rFonts w:cs="Arial"/>
          <w:szCs w:val="24"/>
        </w:rPr>
        <w:t>Service directorates were invited to bid for capital resources, as part of their service proposals for 20</w:t>
      </w:r>
      <w:r w:rsidR="001E570C" w:rsidRPr="001E570C">
        <w:rPr>
          <w:rFonts w:cs="Arial"/>
          <w:szCs w:val="24"/>
        </w:rPr>
        <w:t>20</w:t>
      </w:r>
      <w:r w:rsidR="00D90A37" w:rsidRPr="001E570C">
        <w:rPr>
          <w:rFonts w:cs="Arial"/>
          <w:szCs w:val="24"/>
        </w:rPr>
        <w:t>/</w:t>
      </w:r>
      <w:r w:rsidR="001A1572" w:rsidRPr="001E570C">
        <w:rPr>
          <w:rFonts w:cs="Arial"/>
          <w:szCs w:val="24"/>
        </w:rPr>
        <w:t>2</w:t>
      </w:r>
      <w:r w:rsidR="001E570C" w:rsidRPr="001E570C">
        <w:rPr>
          <w:rFonts w:cs="Arial"/>
          <w:szCs w:val="24"/>
        </w:rPr>
        <w:t>1</w:t>
      </w:r>
      <w:r w:rsidR="008916DC" w:rsidRPr="001E570C">
        <w:rPr>
          <w:rFonts w:cs="Arial"/>
          <w:szCs w:val="24"/>
        </w:rPr>
        <w:t xml:space="preserve"> to 20</w:t>
      </w:r>
      <w:r w:rsidR="009D42A5" w:rsidRPr="001E570C">
        <w:rPr>
          <w:rFonts w:cs="Arial"/>
          <w:szCs w:val="24"/>
        </w:rPr>
        <w:t>2</w:t>
      </w:r>
      <w:r w:rsidR="001E570C" w:rsidRPr="001E570C">
        <w:rPr>
          <w:rFonts w:cs="Arial"/>
          <w:szCs w:val="24"/>
        </w:rPr>
        <w:t>2</w:t>
      </w:r>
      <w:r w:rsidR="001A1572" w:rsidRPr="001E570C">
        <w:rPr>
          <w:rFonts w:cs="Arial"/>
          <w:szCs w:val="24"/>
        </w:rPr>
        <w:t>1</w:t>
      </w:r>
      <w:r w:rsidRPr="001E570C">
        <w:rPr>
          <w:rFonts w:cs="Arial"/>
          <w:szCs w:val="24"/>
        </w:rPr>
        <w:t>/</w:t>
      </w:r>
      <w:r w:rsidR="008916DC" w:rsidRPr="001E570C">
        <w:rPr>
          <w:rFonts w:cs="Arial"/>
          <w:szCs w:val="24"/>
        </w:rPr>
        <w:t>2</w:t>
      </w:r>
      <w:r w:rsidR="001E570C" w:rsidRPr="001E570C">
        <w:rPr>
          <w:rFonts w:cs="Arial"/>
          <w:szCs w:val="24"/>
        </w:rPr>
        <w:t>3</w:t>
      </w:r>
      <w:r w:rsidRPr="001E570C">
        <w:rPr>
          <w:rFonts w:cs="Arial"/>
          <w:szCs w:val="24"/>
        </w:rPr>
        <w:t xml:space="preserve">.  </w:t>
      </w:r>
      <w:r w:rsidR="00B67C31" w:rsidRPr="001E570C">
        <w:rPr>
          <w:rFonts w:cs="Arial"/>
          <w:szCs w:val="24"/>
        </w:rPr>
        <w:t xml:space="preserve">In view of the current financial climate and reduced external funding service directorates were asked to limit new capital proposals to the following categories: </w:t>
      </w:r>
    </w:p>
    <w:p w:rsidR="00B67C31" w:rsidRDefault="00B67C31" w:rsidP="00A26B10">
      <w:pPr>
        <w:pStyle w:val="ListParagraph"/>
        <w:rPr>
          <w:rFonts w:cs="Arial"/>
          <w:szCs w:val="24"/>
        </w:rPr>
      </w:pPr>
    </w:p>
    <w:p w:rsidR="00B67C31" w:rsidRPr="000E638E" w:rsidRDefault="00B67C31" w:rsidP="00B67C31">
      <w:pPr>
        <w:pStyle w:val="ListParagraph"/>
        <w:numPr>
          <w:ilvl w:val="0"/>
          <w:numId w:val="39"/>
        </w:numPr>
        <w:rPr>
          <w:rFonts w:cs="Arial"/>
          <w:szCs w:val="24"/>
        </w:rPr>
      </w:pPr>
      <w:r w:rsidRPr="000E638E">
        <w:rPr>
          <w:rFonts w:cs="Arial"/>
          <w:szCs w:val="24"/>
        </w:rPr>
        <w:t>Life and Limb/Health and Safety.</w:t>
      </w:r>
    </w:p>
    <w:p w:rsidR="00B67C31" w:rsidRPr="000E638E" w:rsidRDefault="00B67C31" w:rsidP="00B67C31">
      <w:pPr>
        <w:numPr>
          <w:ilvl w:val="0"/>
          <w:numId w:val="39"/>
        </w:numPr>
        <w:spacing w:after="200" w:line="276" w:lineRule="auto"/>
        <w:contextualSpacing/>
        <w:rPr>
          <w:rFonts w:cs="Arial"/>
          <w:szCs w:val="24"/>
        </w:rPr>
      </w:pPr>
      <w:r w:rsidRPr="000E638E">
        <w:rPr>
          <w:rFonts w:cs="Arial"/>
          <w:szCs w:val="24"/>
        </w:rPr>
        <w:t>Statutory Requirement/legislation.</w:t>
      </w:r>
    </w:p>
    <w:p w:rsidR="00B67C31" w:rsidRPr="000E638E" w:rsidRDefault="00B67C31" w:rsidP="00B67C31">
      <w:pPr>
        <w:numPr>
          <w:ilvl w:val="0"/>
          <w:numId w:val="39"/>
        </w:numPr>
        <w:spacing w:after="200" w:line="276" w:lineRule="auto"/>
        <w:contextualSpacing/>
        <w:rPr>
          <w:rFonts w:cs="Arial"/>
          <w:szCs w:val="24"/>
        </w:rPr>
      </w:pPr>
      <w:r w:rsidRPr="000E638E">
        <w:rPr>
          <w:rFonts w:cs="Arial"/>
          <w:szCs w:val="24"/>
        </w:rPr>
        <w:t>Schemes fully funded by external sources.</w:t>
      </w:r>
    </w:p>
    <w:p w:rsidR="00B67C31" w:rsidRDefault="00B67C31" w:rsidP="00B67C31">
      <w:pPr>
        <w:numPr>
          <w:ilvl w:val="0"/>
          <w:numId w:val="39"/>
        </w:numPr>
        <w:spacing w:after="200" w:line="276" w:lineRule="auto"/>
        <w:contextualSpacing/>
        <w:rPr>
          <w:rFonts w:cs="Arial"/>
          <w:szCs w:val="24"/>
        </w:rPr>
      </w:pPr>
      <w:r w:rsidRPr="000E638E">
        <w:rPr>
          <w:rFonts w:cs="Arial"/>
          <w:szCs w:val="24"/>
        </w:rPr>
        <w:t>Invest to Save Schemes (the capital expenditure must generate a revenue stream to cover the capital financing costs and make a savings contribution).</w:t>
      </w:r>
    </w:p>
    <w:p w:rsidR="00B67C31" w:rsidRDefault="00B67C31" w:rsidP="00A26B10">
      <w:pPr>
        <w:tabs>
          <w:tab w:val="num" w:pos="1985"/>
        </w:tabs>
        <w:ind w:left="567"/>
        <w:jc w:val="both"/>
        <w:rPr>
          <w:rFonts w:cs="Arial"/>
          <w:szCs w:val="24"/>
        </w:rPr>
      </w:pPr>
    </w:p>
    <w:p w:rsidR="00E919C9" w:rsidRDefault="00E919C9" w:rsidP="00E919C9">
      <w:pPr>
        <w:ind w:left="567"/>
        <w:jc w:val="both"/>
        <w:rPr>
          <w:rFonts w:cs="Arial"/>
          <w:szCs w:val="24"/>
        </w:rPr>
      </w:pPr>
      <w:r w:rsidRPr="00105B2C">
        <w:rPr>
          <w:rFonts w:cs="Arial"/>
          <w:szCs w:val="24"/>
        </w:rPr>
        <w:t xml:space="preserve">A list of the </w:t>
      </w:r>
      <w:r>
        <w:rPr>
          <w:rFonts w:cs="Arial"/>
          <w:szCs w:val="24"/>
        </w:rPr>
        <w:t xml:space="preserve">new </w:t>
      </w:r>
      <w:r w:rsidRPr="00105B2C">
        <w:rPr>
          <w:rFonts w:cs="Arial"/>
          <w:szCs w:val="24"/>
        </w:rPr>
        <w:t xml:space="preserve">proposed projects </w:t>
      </w:r>
      <w:r>
        <w:rPr>
          <w:rFonts w:cs="Arial"/>
          <w:szCs w:val="24"/>
        </w:rPr>
        <w:t xml:space="preserve">within the programme </w:t>
      </w:r>
      <w:r w:rsidRPr="00105B2C">
        <w:rPr>
          <w:rFonts w:cs="Arial"/>
          <w:szCs w:val="24"/>
        </w:rPr>
        <w:t xml:space="preserve">is detailed in appendix </w:t>
      </w:r>
      <w:r>
        <w:rPr>
          <w:rFonts w:cs="Arial"/>
          <w:szCs w:val="24"/>
        </w:rPr>
        <w:t>1 and summarised in Table 1 below:</w:t>
      </w:r>
    </w:p>
    <w:p w:rsidR="00E919C9" w:rsidRDefault="00E919C9" w:rsidP="00E919C9">
      <w:pPr>
        <w:ind w:left="567"/>
        <w:jc w:val="both"/>
        <w:rPr>
          <w:rFonts w:cs="Arial"/>
          <w:szCs w:val="24"/>
        </w:rPr>
      </w:pPr>
    </w:p>
    <w:p w:rsidR="000232EB" w:rsidRDefault="000232EB" w:rsidP="00E919C9">
      <w:pPr>
        <w:ind w:left="567"/>
        <w:jc w:val="both"/>
        <w:rPr>
          <w:rFonts w:cs="Arial"/>
          <w:szCs w:val="24"/>
        </w:rPr>
      </w:pPr>
    </w:p>
    <w:p w:rsidR="000232EB" w:rsidRDefault="000232EB" w:rsidP="00E919C9">
      <w:pPr>
        <w:ind w:left="567"/>
        <w:jc w:val="both"/>
        <w:rPr>
          <w:rFonts w:cs="Arial"/>
          <w:szCs w:val="24"/>
        </w:rPr>
      </w:pPr>
    </w:p>
    <w:p w:rsidR="00E919C9" w:rsidRDefault="00E919C9" w:rsidP="00E919C9">
      <w:pPr>
        <w:ind w:left="567"/>
        <w:jc w:val="both"/>
        <w:rPr>
          <w:rFonts w:cs="Arial"/>
          <w:szCs w:val="24"/>
        </w:rPr>
      </w:pPr>
      <w:r>
        <w:rPr>
          <w:rFonts w:cs="Arial"/>
          <w:szCs w:val="24"/>
        </w:rPr>
        <w:t>Table 1</w:t>
      </w:r>
    </w:p>
    <w:p w:rsidR="00AA5CE1" w:rsidRDefault="000232EB" w:rsidP="00E919C9">
      <w:pPr>
        <w:ind w:left="567"/>
        <w:jc w:val="both"/>
        <w:rPr>
          <w:rFonts w:cs="Arial"/>
          <w:szCs w:val="24"/>
        </w:rPr>
      </w:pPr>
      <w:r w:rsidRPr="000232EB">
        <w:rPr>
          <w:noProof/>
          <w:lang w:eastAsia="en-GB"/>
        </w:rPr>
        <w:drawing>
          <wp:inline distT="0" distB="0" distL="0" distR="0" wp14:anchorId="3FCCDCE9" wp14:editId="3143BE92">
            <wp:extent cx="5125251" cy="1728907"/>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069" cy="1741327"/>
                    </a:xfrm>
                    <a:prstGeom prst="rect">
                      <a:avLst/>
                    </a:prstGeom>
                    <a:noFill/>
                    <a:ln>
                      <a:noFill/>
                    </a:ln>
                  </pic:spPr>
                </pic:pic>
              </a:graphicData>
            </a:graphic>
          </wp:inline>
        </w:drawing>
      </w:r>
    </w:p>
    <w:p w:rsidR="00AA5CE1" w:rsidRDefault="00AA5CE1" w:rsidP="00E919C9">
      <w:pPr>
        <w:ind w:left="567"/>
        <w:jc w:val="both"/>
        <w:rPr>
          <w:rFonts w:cs="Arial"/>
          <w:szCs w:val="24"/>
        </w:rPr>
      </w:pPr>
    </w:p>
    <w:p w:rsidR="00B67C31" w:rsidRDefault="00B67C31" w:rsidP="00A26B10">
      <w:pPr>
        <w:tabs>
          <w:tab w:val="num" w:pos="1985"/>
        </w:tabs>
        <w:ind w:left="567"/>
        <w:jc w:val="both"/>
        <w:rPr>
          <w:rFonts w:cs="Arial"/>
          <w:b/>
          <w:szCs w:val="24"/>
        </w:rPr>
      </w:pPr>
      <w:r w:rsidRPr="00A26B10">
        <w:rPr>
          <w:rFonts w:cs="Arial"/>
          <w:b/>
          <w:szCs w:val="24"/>
        </w:rPr>
        <w:t xml:space="preserve">Current cost of the Capital Programme </w:t>
      </w:r>
    </w:p>
    <w:p w:rsidR="001F1868" w:rsidRDefault="002F7710"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The 201</w:t>
      </w:r>
      <w:r w:rsidR="001E570C">
        <w:rPr>
          <w:rFonts w:cs="Arial"/>
          <w:szCs w:val="24"/>
        </w:rPr>
        <w:t>9</w:t>
      </w:r>
      <w:r>
        <w:rPr>
          <w:rFonts w:cs="Arial"/>
          <w:szCs w:val="24"/>
        </w:rPr>
        <w:t>/</w:t>
      </w:r>
      <w:r w:rsidR="001E570C">
        <w:rPr>
          <w:rFonts w:cs="Arial"/>
          <w:szCs w:val="24"/>
        </w:rPr>
        <w:t>20</w:t>
      </w:r>
      <w:r>
        <w:rPr>
          <w:rFonts w:cs="Arial"/>
          <w:szCs w:val="24"/>
        </w:rPr>
        <w:t xml:space="preserve"> </w:t>
      </w:r>
      <w:r w:rsidR="00272CC5">
        <w:rPr>
          <w:rFonts w:cs="Arial"/>
          <w:szCs w:val="24"/>
        </w:rPr>
        <w:t xml:space="preserve">revenue </w:t>
      </w:r>
      <w:r>
        <w:rPr>
          <w:rFonts w:cs="Arial"/>
          <w:szCs w:val="24"/>
        </w:rPr>
        <w:t xml:space="preserve">budget </w:t>
      </w:r>
      <w:r w:rsidR="00390AEE">
        <w:rPr>
          <w:rFonts w:cs="Arial"/>
          <w:szCs w:val="24"/>
        </w:rPr>
        <w:t xml:space="preserve">in respect of </w:t>
      </w:r>
      <w:r w:rsidR="00B67C31">
        <w:rPr>
          <w:rFonts w:cs="Arial"/>
          <w:szCs w:val="24"/>
        </w:rPr>
        <w:t xml:space="preserve">the </w:t>
      </w:r>
      <w:r w:rsidR="00390AEE">
        <w:rPr>
          <w:rFonts w:cs="Arial"/>
          <w:szCs w:val="24"/>
        </w:rPr>
        <w:t>c</w:t>
      </w:r>
      <w:r>
        <w:rPr>
          <w:rFonts w:cs="Arial"/>
          <w:szCs w:val="24"/>
        </w:rPr>
        <w:t>apital financing cost of the existing Capital programme</w:t>
      </w:r>
      <w:r w:rsidR="00FF3DB3">
        <w:rPr>
          <w:rFonts w:cs="Arial"/>
          <w:szCs w:val="24"/>
        </w:rPr>
        <w:t xml:space="preserve"> 201</w:t>
      </w:r>
      <w:r w:rsidR="001E570C">
        <w:rPr>
          <w:rFonts w:cs="Arial"/>
          <w:szCs w:val="24"/>
        </w:rPr>
        <w:t>9</w:t>
      </w:r>
      <w:r w:rsidR="00FF3DB3">
        <w:rPr>
          <w:rFonts w:cs="Arial"/>
          <w:szCs w:val="24"/>
        </w:rPr>
        <w:t>/</w:t>
      </w:r>
      <w:r w:rsidR="001E570C">
        <w:rPr>
          <w:rFonts w:cs="Arial"/>
          <w:szCs w:val="24"/>
        </w:rPr>
        <w:t>20</w:t>
      </w:r>
      <w:r w:rsidR="00FF3DB3">
        <w:rPr>
          <w:rFonts w:cs="Arial"/>
          <w:szCs w:val="24"/>
        </w:rPr>
        <w:t xml:space="preserve"> to 2020/21 is</w:t>
      </w:r>
      <w:r>
        <w:rPr>
          <w:rFonts w:cs="Arial"/>
          <w:szCs w:val="24"/>
        </w:rPr>
        <w:t xml:space="preserve"> </w:t>
      </w:r>
      <w:r w:rsidR="001E0DA0">
        <w:rPr>
          <w:rFonts w:cs="Arial"/>
          <w:szCs w:val="24"/>
        </w:rPr>
        <w:t>£</w:t>
      </w:r>
      <w:r w:rsidR="001E570C">
        <w:rPr>
          <w:rFonts w:cs="Arial"/>
          <w:szCs w:val="24"/>
        </w:rPr>
        <w:t>32.6</w:t>
      </w:r>
      <w:r w:rsidR="001E0DA0">
        <w:rPr>
          <w:rFonts w:cs="Arial"/>
          <w:szCs w:val="24"/>
        </w:rPr>
        <w:t>m</w:t>
      </w:r>
      <w:r w:rsidR="00FF3DB3">
        <w:rPr>
          <w:rFonts w:cs="Arial"/>
          <w:szCs w:val="24"/>
        </w:rPr>
        <w:t>.  This figure of £</w:t>
      </w:r>
      <w:r w:rsidR="001E570C">
        <w:rPr>
          <w:rFonts w:cs="Arial"/>
          <w:szCs w:val="24"/>
        </w:rPr>
        <w:t>32.6</w:t>
      </w:r>
      <w:r w:rsidR="00FF3DB3">
        <w:rPr>
          <w:rFonts w:cs="Arial"/>
          <w:szCs w:val="24"/>
        </w:rPr>
        <w:t>m will also relate to the cost of historic capital programmes spent prior to 201</w:t>
      </w:r>
      <w:r w:rsidR="001E570C">
        <w:rPr>
          <w:rFonts w:cs="Arial"/>
          <w:szCs w:val="24"/>
        </w:rPr>
        <w:t>9</w:t>
      </w:r>
      <w:r w:rsidR="00FF3DB3">
        <w:rPr>
          <w:rFonts w:cs="Arial"/>
          <w:szCs w:val="24"/>
        </w:rPr>
        <w:t>/</w:t>
      </w:r>
      <w:r w:rsidR="001E570C">
        <w:rPr>
          <w:rFonts w:cs="Arial"/>
          <w:szCs w:val="24"/>
        </w:rPr>
        <w:t>20</w:t>
      </w:r>
      <w:r w:rsidR="00FF3DB3">
        <w:rPr>
          <w:rFonts w:cs="Arial"/>
          <w:szCs w:val="24"/>
        </w:rPr>
        <w:t xml:space="preserve"> but it does </w:t>
      </w:r>
      <w:r w:rsidR="00FF3DB3" w:rsidRPr="00A26B10">
        <w:rPr>
          <w:rFonts w:cs="Arial"/>
          <w:b/>
          <w:szCs w:val="24"/>
        </w:rPr>
        <w:t>not</w:t>
      </w:r>
      <w:r w:rsidR="00FF3DB3">
        <w:rPr>
          <w:rFonts w:cs="Arial"/>
          <w:szCs w:val="24"/>
        </w:rPr>
        <w:t xml:space="preserve"> include the cost of the proposals at Appendix 1.  £</w:t>
      </w:r>
      <w:r w:rsidR="001E570C">
        <w:rPr>
          <w:rFonts w:cs="Arial"/>
          <w:szCs w:val="24"/>
        </w:rPr>
        <w:t>32.6</w:t>
      </w:r>
      <w:r w:rsidR="00FF3DB3">
        <w:rPr>
          <w:rFonts w:cs="Arial"/>
          <w:szCs w:val="24"/>
        </w:rPr>
        <w:t xml:space="preserve">m </w:t>
      </w:r>
      <w:r w:rsidR="001E0DA0">
        <w:rPr>
          <w:rFonts w:cs="Arial"/>
          <w:szCs w:val="24"/>
        </w:rPr>
        <w:t xml:space="preserve">is </w:t>
      </w:r>
      <w:r w:rsidR="00FF3DB3">
        <w:rPr>
          <w:rFonts w:cs="Arial"/>
          <w:szCs w:val="24"/>
        </w:rPr>
        <w:t>approximately 1</w:t>
      </w:r>
      <w:r w:rsidR="001E570C">
        <w:rPr>
          <w:rFonts w:cs="Arial"/>
          <w:szCs w:val="24"/>
        </w:rPr>
        <w:t>9</w:t>
      </w:r>
      <w:r w:rsidR="00FF3DB3">
        <w:rPr>
          <w:rFonts w:cs="Arial"/>
          <w:szCs w:val="24"/>
        </w:rPr>
        <w:t>% of the net revenue budget of £16</w:t>
      </w:r>
      <w:r w:rsidR="001E570C">
        <w:rPr>
          <w:rFonts w:cs="Arial"/>
          <w:szCs w:val="24"/>
        </w:rPr>
        <w:t>7</w:t>
      </w:r>
      <w:r w:rsidR="00FF3DB3">
        <w:rPr>
          <w:rFonts w:cs="Arial"/>
          <w:szCs w:val="24"/>
        </w:rPr>
        <w:t xml:space="preserve">m. </w:t>
      </w:r>
    </w:p>
    <w:p w:rsidR="001F1868" w:rsidRDefault="001F1868"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Although </w:t>
      </w:r>
      <w:r w:rsidR="00B67C31">
        <w:rPr>
          <w:rFonts w:cs="Arial"/>
          <w:szCs w:val="24"/>
        </w:rPr>
        <w:t>there are</w:t>
      </w:r>
      <w:r>
        <w:rPr>
          <w:rFonts w:cs="Arial"/>
          <w:szCs w:val="24"/>
        </w:rPr>
        <w:t xml:space="preserve"> </w:t>
      </w:r>
      <w:r w:rsidRPr="00105B2C">
        <w:rPr>
          <w:rFonts w:cs="Arial"/>
          <w:szCs w:val="24"/>
        </w:rPr>
        <w:t xml:space="preserve">no specific limits to borrowing in order to fund capital expenditure, </w:t>
      </w:r>
      <w:r>
        <w:rPr>
          <w:rFonts w:cs="Arial"/>
          <w:szCs w:val="24"/>
        </w:rPr>
        <w:t xml:space="preserve">the </w:t>
      </w:r>
      <w:r w:rsidRPr="00105B2C">
        <w:rPr>
          <w:rFonts w:cs="Arial"/>
          <w:szCs w:val="24"/>
        </w:rPr>
        <w:t xml:space="preserve">Council must </w:t>
      </w:r>
      <w:r w:rsidR="005B5926">
        <w:rPr>
          <w:rFonts w:cs="Arial"/>
          <w:szCs w:val="24"/>
        </w:rPr>
        <w:t xml:space="preserve">be prudent when </w:t>
      </w:r>
      <w:r w:rsidRPr="00105B2C">
        <w:rPr>
          <w:rFonts w:cs="Arial"/>
          <w:szCs w:val="24"/>
        </w:rPr>
        <w:t>consider</w:t>
      </w:r>
      <w:r w:rsidR="005B5926">
        <w:rPr>
          <w:rFonts w:cs="Arial"/>
          <w:szCs w:val="24"/>
        </w:rPr>
        <w:t>ing</w:t>
      </w:r>
      <w:r w:rsidRPr="00105B2C">
        <w:rPr>
          <w:rFonts w:cs="Arial"/>
          <w:szCs w:val="24"/>
        </w:rPr>
        <w:t xml:space="preserve"> the revenue implications in the context of the overall revenue budget commitments in the medium term</w:t>
      </w:r>
      <w:r>
        <w:rPr>
          <w:rFonts w:cs="Arial"/>
          <w:szCs w:val="24"/>
        </w:rPr>
        <w:t xml:space="preserve"> and the Capital Programme </w:t>
      </w:r>
      <w:r w:rsidRPr="00105B2C">
        <w:rPr>
          <w:rFonts w:cs="Arial"/>
          <w:szCs w:val="24"/>
        </w:rPr>
        <w:t>must be affordable.</w:t>
      </w:r>
    </w:p>
    <w:p w:rsidR="00FF3DB3" w:rsidRDefault="00FF3DB3"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In </w:t>
      </w:r>
      <w:r w:rsidR="001F1868">
        <w:rPr>
          <w:rFonts w:cs="Arial"/>
          <w:szCs w:val="24"/>
        </w:rPr>
        <w:t xml:space="preserve">the current </w:t>
      </w:r>
      <w:r>
        <w:rPr>
          <w:rFonts w:cs="Arial"/>
          <w:szCs w:val="24"/>
        </w:rPr>
        <w:t xml:space="preserve">situation where the revenue budget continues to reduce </w:t>
      </w:r>
      <w:r w:rsidR="001F1868">
        <w:rPr>
          <w:rFonts w:cs="Arial"/>
          <w:szCs w:val="24"/>
        </w:rPr>
        <w:t>each</w:t>
      </w:r>
      <w:r>
        <w:rPr>
          <w:rFonts w:cs="Arial"/>
          <w:szCs w:val="24"/>
        </w:rPr>
        <w:t xml:space="preserve"> year, but capital financing </w:t>
      </w:r>
      <w:r w:rsidR="001F1868">
        <w:rPr>
          <w:rFonts w:cs="Arial"/>
          <w:szCs w:val="24"/>
        </w:rPr>
        <w:t xml:space="preserve">costs increase as a result of increasing </w:t>
      </w:r>
      <w:r>
        <w:rPr>
          <w:rFonts w:cs="Arial"/>
          <w:szCs w:val="24"/>
        </w:rPr>
        <w:t xml:space="preserve"> the capital programme</w:t>
      </w:r>
      <w:r w:rsidR="001F1868">
        <w:rPr>
          <w:rFonts w:cs="Arial"/>
          <w:szCs w:val="24"/>
        </w:rPr>
        <w:t xml:space="preserve"> each year</w:t>
      </w:r>
      <w:r>
        <w:rPr>
          <w:rFonts w:cs="Arial"/>
          <w:szCs w:val="24"/>
        </w:rPr>
        <w:t xml:space="preserve">, the proportion of the net revenue budget which </w:t>
      </w:r>
      <w:r w:rsidR="00272CC5">
        <w:rPr>
          <w:rFonts w:cs="Arial"/>
          <w:szCs w:val="24"/>
        </w:rPr>
        <w:t xml:space="preserve">funds </w:t>
      </w:r>
      <w:r>
        <w:rPr>
          <w:rFonts w:cs="Arial"/>
          <w:szCs w:val="24"/>
        </w:rPr>
        <w:t xml:space="preserve">capital financing costs </w:t>
      </w:r>
      <w:r w:rsidR="001F1868">
        <w:rPr>
          <w:rFonts w:cs="Arial"/>
          <w:szCs w:val="24"/>
        </w:rPr>
        <w:t>will increase</w:t>
      </w:r>
      <w:r w:rsidR="00272CC5">
        <w:rPr>
          <w:rFonts w:cs="Arial"/>
          <w:szCs w:val="24"/>
        </w:rPr>
        <w:t xml:space="preserve"> each year</w:t>
      </w:r>
      <w:r w:rsidR="001F1868">
        <w:rPr>
          <w:rFonts w:cs="Arial"/>
          <w:szCs w:val="24"/>
        </w:rPr>
        <w:t xml:space="preserve">. </w:t>
      </w:r>
      <w:r>
        <w:rPr>
          <w:rFonts w:cs="Arial"/>
          <w:szCs w:val="24"/>
        </w:rPr>
        <w:t xml:space="preserve"> </w:t>
      </w:r>
    </w:p>
    <w:p w:rsidR="00C609E9" w:rsidRDefault="006716D2"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Table </w:t>
      </w:r>
      <w:r w:rsidR="00E919C9">
        <w:rPr>
          <w:rFonts w:cs="Arial"/>
          <w:szCs w:val="24"/>
        </w:rPr>
        <w:t>2</w:t>
      </w:r>
      <w:r w:rsidR="00FF3DB3">
        <w:rPr>
          <w:rFonts w:cs="Arial"/>
          <w:szCs w:val="24"/>
        </w:rPr>
        <w:t xml:space="preserve"> below shows the capital financing costs </w:t>
      </w:r>
      <w:r w:rsidR="001F1868">
        <w:rPr>
          <w:rFonts w:cs="Arial"/>
          <w:szCs w:val="24"/>
        </w:rPr>
        <w:t xml:space="preserve">that are </w:t>
      </w:r>
      <w:r w:rsidR="00FF3DB3">
        <w:rPr>
          <w:rFonts w:cs="Arial"/>
          <w:szCs w:val="24"/>
        </w:rPr>
        <w:t xml:space="preserve">already </w:t>
      </w:r>
      <w:r w:rsidR="001F1868">
        <w:rPr>
          <w:rFonts w:cs="Arial"/>
          <w:szCs w:val="24"/>
        </w:rPr>
        <w:t xml:space="preserve">factored into </w:t>
      </w:r>
      <w:r w:rsidR="00FF3DB3">
        <w:rPr>
          <w:rFonts w:cs="Arial"/>
          <w:szCs w:val="24"/>
        </w:rPr>
        <w:t xml:space="preserve">the existing </w:t>
      </w:r>
      <w:r w:rsidR="001F1868">
        <w:rPr>
          <w:rFonts w:cs="Arial"/>
          <w:szCs w:val="24"/>
        </w:rPr>
        <w:t xml:space="preserve">MTFS </w:t>
      </w:r>
      <w:r w:rsidR="00FF3DB3">
        <w:rPr>
          <w:rFonts w:cs="Arial"/>
          <w:szCs w:val="24"/>
        </w:rPr>
        <w:t>from 201</w:t>
      </w:r>
      <w:r w:rsidR="001E570C">
        <w:rPr>
          <w:rFonts w:cs="Arial"/>
          <w:szCs w:val="24"/>
        </w:rPr>
        <w:t>9</w:t>
      </w:r>
      <w:r w:rsidR="00FF3DB3">
        <w:rPr>
          <w:rFonts w:cs="Arial"/>
          <w:szCs w:val="24"/>
        </w:rPr>
        <w:t>/</w:t>
      </w:r>
      <w:r w:rsidR="001E570C">
        <w:rPr>
          <w:rFonts w:cs="Arial"/>
          <w:szCs w:val="24"/>
        </w:rPr>
        <w:t>20</w:t>
      </w:r>
      <w:r w:rsidR="00FF3DB3">
        <w:rPr>
          <w:rFonts w:cs="Arial"/>
          <w:szCs w:val="24"/>
        </w:rPr>
        <w:t xml:space="preserve"> to 2021/22 in relation to the existing and historic capital programmes</w:t>
      </w:r>
      <w:r w:rsidR="001F1868">
        <w:rPr>
          <w:rFonts w:cs="Arial"/>
          <w:szCs w:val="24"/>
        </w:rPr>
        <w:t xml:space="preserve"> as a proportion of the 201</w:t>
      </w:r>
      <w:r w:rsidR="001E570C">
        <w:rPr>
          <w:rFonts w:cs="Arial"/>
          <w:szCs w:val="24"/>
        </w:rPr>
        <w:t>9</w:t>
      </w:r>
      <w:r w:rsidR="001F1868">
        <w:rPr>
          <w:rFonts w:cs="Arial"/>
          <w:szCs w:val="24"/>
        </w:rPr>
        <w:t>/</w:t>
      </w:r>
      <w:r w:rsidR="001E570C">
        <w:rPr>
          <w:rFonts w:cs="Arial"/>
          <w:szCs w:val="24"/>
        </w:rPr>
        <w:t>20</w:t>
      </w:r>
      <w:r w:rsidR="001F1868">
        <w:rPr>
          <w:rFonts w:cs="Arial"/>
          <w:szCs w:val="24"/>
        </w:rPr>
        <w:t xml:space="preserve"> net revenue budget of £16</w:t>
      </w:r>
      <w:r w:rsidR="001E570C">
        <w:rPr>
          <w:rFonts w:cs="Arial"/>
          <w:szCs w:val="24"/>
        </w:rPr>
        <w:t>7</w:t>
      </w:r>
      <w:r w:rsidR="001F1868">
        <w:rPr>
          <w:rFonts w:cs="Arial"/>
          <w:szCs w:val="24"/>
        </w:rPr>
        <w:t>m</w:t>
      </w:r>
      <w:r w:rsidR="00C609E9">
        <w:rPr>
          <w:rFonts w:cs="Arial"/>
          <w:szCs w:val="24"/>
        </w:rPr>
        <w:t xml:space="preserve">. </w:t>
      </w:r>
    </w:p>
    <w:p w:rsidR="000232EB" w:rsidRDefault="000232EB" w:rsidP="00FF590B">
      <w:pPr>
        <w:numPr>
          <w:ilvl w:val="0"/>
          <w:numId w:val="27"/>
        </w:numPr>
        <w:tabs>
          <w:tab w:val="clear" w:pos="360"/>
          <w:tab w:val="num" w:pos="567"/>
          <w:tab w:val="num" w:pos="1985"/>
        </w:tabs>
        <w:spacing w:after="120"/>
        <w:ind w:left="567" w:hanging="567"/>
        <w:jc w:val="both"/>
        <w:rPr>
          <w:rFonts w:cs="Arial"/>
          <w:szCs w:val="24"/>
        </w:rPr>
      </w:pPr>
    </w:p>
    <w:p w:rsidR="00C609E9" w:rsidRPr="00EA216C" w:rsidRDefault="00EB0149" w:rsidP="00A26B10">
      <w:pPr>
        <w:pStyle w:val="ListParagraph"/>
        <w:rPr>
          <w:rFonts w:cs="Arial"/>
          <w:b/>
          <w:szCs w:val="24"/>
        </w:rPr>
      </w:pPr>
      <w:r w:rsidRPr="00EA216C">
        <w:rPr>
          <w:rFonts w:cs="Arial"/>
          <w:b/>
          <w:szCs w:val="24"/>
        </w:rPr>
        <w:t xml:space="preserve">Table </w:t>
      </w:r>
      <w:r w:rsidR="00E919C9">
        <w:rPr>
          <w:rFonts w:cs="Arial"/>
          <w:b/>
          <w:szCs w:val="24"/>
        </w:rPr>
        <w:t>2</w:t>
      </w:r>
      <w:r w:rsidR="00914951">
        <w:rPr>
          <w:rFonts w:cs="Arial"/>
          <w:b/>
          <w:szCs w:val="24"/>
        </w:rPr>
        <w:t xml:space="preserve"> - </w:t>
      </w:r>
      <w:r w:rsidRPr="00EA216C">
        <w:rPr>
          <w:rFonts w:cs="Arial"/>
          <w:b/>
          <w:szCs w:val="24"/>
        </w:rPr>
        <w:t xml:space="preserve">Capital Financing </w:t>
      </w:r>
      <w:r w:rsidR="006716D2" w:rsidRPr="00EA216C">
        <w:rPr>
          <w:rFonts w:cs="Arial"/>
          <w:b/>
          <w:szCs w:val="24"/>
        </w:rPr>
        <w:t>C</w:t>
      </w:r>
      <w:r w:rsidRPr="00EA216C">
        <w:rPr>
          <w:rFonts w:cs="Arial"/>
          <w:b/>
          <w:szCs w:val="24"/>
        </w:rPr>
        <w:t xml:space="preserve">osts as % of </w:t>
      </w:r>
      <w:r w:rsidR="006716D2" w:rsidRPr="00EA216C">
        <w:rPr>
          <w:rFonts w:cs="Arial"/>
          <w:b/>
          <w:szCs w:val="24"/>
        </w:rPr>
        <w:t>the N</w:t>
      </w:r>
      <w:r w:rsidRPr="00EA216C">
        <w:rPr>
          <w:rFonts w:cs="Arial"/>
          <w:b/>
          <w:szCs w:val="24"/>
        </w:rPr>
        <w:t xml:space="preserve">et </w:t>
      </w:r>
      <w:r w:rsidR="006716D2" w:rsidRPr="00EA216C">
        <w:rPr>
          <w:rFonts w:cs="Arial"/>
          <w:b/>
          <w:szCs w:val="24"/>
        </w:rPr>
        <w:t>R</w:t>
      </w:r>
      <w:r w:rsidRPr="00EA216C">
        <w:rPr>
          <w:rFonts w:cs="Arial"/>
          <w:b/>
          <w:szCs w:val="24"/>
        </w:rPr>
        <w:t xml:space="preserve">evenue </w:t>
      </w:r>
      <w:r w:rsidR="006716D2" w:rsidRPr="00EA216C">
        <w:rPr>
          <w:rFonts w:cs="Arial"/>
          <w:b/>
          <w:szCs w:val="24"/>
        </w:rPr>
        <w:t>B</w:t>
      </w:r>
      <w:r w:rsidRPr="00EA216C">
        <w:rPr>
          <w:rFonts w:cs="Arial"/>
          <w:b/>
          <w:szCs w:val="24"/>
        </w:rPr>
        <w:t>udget</w:t>
      </w:r>
    </w:p>
    <w:tbl>
      <w:tblPr>
        <w:tblStyle w:val="TableGrid"/>
        <w:tblW w:w="0" w:type="auto"/>
        <w:tblInd w:w="720" w:type="dxa"/>
        <w:tblLook w:val="04A0" w:firstRow="1" w:lastRow="0" w:firstColumn="1" w:lastColumn="0" w:noHBand="0" w:noVBand="1"/>
      </w:tblPr>
      <w:tblGrid>
        <w:gridCol w:w="1937"/>
        <w:gridCol w:w="2749"/>
        <w:gridCol w:w="2901"/>
      </w:tblGrid>
      <w:tr w:rsidR="006716D2" w:rsidTr="00EA216C">
        <w:trPr>
          <w:trHeight w:val="801"/>
        </w:trPr>
        <w:tc>
          <w:tcPr>
            <w:tcW w:w="1937" w:type="dxa"/>
          </w:tcPr>
          <w:p w:rsidR="002E11D9" w:rsidRDefault="002E11D9">
            <w:pPr>
              <w:pStyle w:val="ListParagraph"/>
              <w:ind w:left="0"/>
              <w:rPr>
                <w:rFonts w:cs="Arial"/>
                <w:szCs w:val="24"/>
              </w:rPr>
            </w:pPr>
          </w:p>
        </w:tc>
        <w:tc>
          <w:tcPr>
            <w:tcW w:w="2749" w:type="dxa"/>
          </w:tcPr>
          <w:p w:rsidR="002E11D9" w:rsidRDefault="002E11D9" w:rsidP="00A26B10">
            <w:pPr>
              <w:pStyle w:val="ListParagraph"/>
              <w:ind w:left="0"/>
              <w:jc w:val="center"/>
              <w:rPr>
                <w:rFonts w:cs="Arial"/>
                <w:szCs w:val="24"/>
              </w:rPr>
            </w:pPr>
            <w:r>
              <w:rPr>
                <w:rFonts w:cs="Arial"/>
                <w:szCs w:val="24"/>
              </w:rPr>
              <w:t>Capital Financing Costs</w:t>
            </w:r>
          </w:p>
        </w:tc>
        <w:tc>
          <w:tcPr>
            <w:tcW w:w="2901" w:type="dxa"/>
          </w:tcPr>
          <w:p w:rsidR="002E11D9" w:rsidRPr="002E11D9" w:rsidRDefault="002E11D9" w:rsidP="00A26B10">
            <w:pPr>
              <w:pStyle w:val="ListParagraph"/>
              <w:ind w:left="0"/>
              <w:jc w:val="center"/>
              <w:rPr>
                <w:rFonts w:cs="Arial"/>
                <w:szCs w:val="24"/>
              </w:rPr>
            </w:pPr>
            <w:r w:rsidRPr="00A26B10">
              <w:rPr>
                <w:rFonts w:cs="Arial"/>
                <w:szCs w:val="24"/>
              </w:rPr>
              <w:t>Capital financing costs a</w:t>
            </w:r>
            <w:r w:rsidRPr="002E11D9">
              <w:rPr>
                <w:rFonts w:cs="Arial"/>
                <w:szCs w:val="24"/>
              </w:rPr>
              <w:t>s % of 2018/19 Net Budget</w:t>
            </w:r>
          </w:p>
        </w:tc>
      </w:tr>
      <w:tr w:rsidR="002E11D9" w:rsidTr="00EA216C">
        <w:trPr>
          <w:trHeight w:val="271"/>
        </w:trPr>
        <w:tc>
          <w:tcPr>
            <w:tcW w:w="1937" w:type="dxa"/>
          </w:tcPr>
          <w:p w:rsidR="005B5926" w:rsidRDefault="005B5926">
            <w:pPr>
              <w:pStyle w:val="ListParagraph"/>
              <w:ind w:left="0"/>
              <w:rPr>
                <w:rFonts w:cs="Arial"/>
                <w:szCs w:val="24"/>
              </w:rPr>
            </w:pPr>
          </w:p>
        </w:tc>
        <w:tc>
          <w:tcPr>
            <w:tcW w:w="2749" w:type="dxa"/>
          </w:tcPr>
          <w:p w:rsidR="005B5926" w:rsidRDefault="002E11D9" w:rsidP="00A26B10">
            <w:pPr>
              <w:pStyle w:val="ListParagraph"/>
              <w:ind w:left="0"/>
              <w:jc w:val="center"/>
              <w:rPr>
                <w:rFonts w:cs="Arial"/>
                <w:szCs w:val="24"/>
              </w:rPr>
            </w:pPr>
            <w:r>
              <w:rPr>
                <w:rFonts w:cs="Arial"/>
                <w:szCs w:val="24"/>
              </w:rPr>
              <w:t>£m</w:t>
            </w:r>
          </w:p>
        </w:tc>
        <w:tc>
          <w:tcPr>
            <w:tcW w:w="2901" w:type="dxa"/>
          </w:tcPr>
          <w:p w:rsidR="005B5926" w:rsidRDefault="002E11D9" w:rsidP="00A26B10">
            <w:pPr>
              <w:pStyle w:val="ListParagraph"/>
              <w:ind w:left="0"/>
              <w:jc w:val="center"/>
              <w:rPr>
                <w:rFonts w:cs="Arial"/>
                <w:szCs w:val="24"/>
              </w:rPr>
            </w:pPr>
            <w:r>
              <w:rPr>
                <w:rFonts w:cs="Arial"/>
                <w:szCs w:val="24"/>
              </w:rPr>
              <w:t>%</w:t>
            </w:r>
          </w:p>
        </w:tc>
      </w:tr>
      <w:tr w:rsidR="002E11D9" w:rsidTr="00EA216C">
        <w:trPr>
          <w:trHeight w:val="259"/>
        </w:trPr>
        <w:tc>
          <w:tcPr>
            <w:tcW w:w="1937" w:type="dxa"/>
          </w:tcPr>
          <w:p w:rsidR="005B5926" w:rsidRDefault="002E11D9">
            <w:pPr>
              <w:pStyle w:val="ListParagraph"/>
              <w:ind w:left="0"/>
              <w:rPr>
                <w:rFonts w:cs="Arial"/>
                <w:szCs w:val="24"/>
              </w:rPr>
            </w:pPr>
            <w:r>
              <w:rPr>
                <w:rFonts w:cs="Arial"/>
                <w:szCs w:val="24"/>
              </w:rPr>
              <w:t>2018/19</w:t>
            </w:r>
          </w:p>
        </w:tc>
        <w:tc>
          <w:tcPr>
            <w:tcW w:w="2749" w:type="dxa"/>
          </w:tcPr>
          <w:p w:rsidR="005B5926" w:rsidRDefault="002E11D9" w:rsidP="00A26B10">
            <w:pPr>
              <w:pStyle w:val="ListParagraph"/>
              <w:ind w:left="0"/>
              <w:jc w:val="center"/>
              <w:rPr>
                <w:rFonts w:cs="Arial"/>
                <w:szCs w:val="24"/>
              </w:rPr>
            </w:pPr>
            <w:r>
              <w:rPr>
                <w:rFonts w:cs="Arial"/>
                <w:szCs w:val="24"/>
              </w:rPr>
              <w:t>24.6</w:t>
            </w:r>
          </w:p>
        </w:tc>
        <w:tc>
          <w:tcPr>
            <w:tcW w:w="2901" w:type="dxa"/>
          </w:tcPr>
          <w:p w:rsidR="005B5926" w:rsidRDefault="002E11D9" w:rsidP="00A26B10">
            <w:pPr>
              <w:pStyle w:val="ListParagraph"/>
              <w:ind w:left="0"/>
              <w:jc w:val="center"/>
              <w:rPr>
                <w:rFonts w:cs="Arial"/>
                <w:szCs w:val="24"/>
              </w:rPr>
            </w:pPr>
            <w:r>
              <w:rPr>
                <w:rFonts w:cs="Arial"/>
                <w:szCs w:val="24"/>
              </w:rPr>
              <w:t>15%</w:t>
            </w:r>
          </w:p>
        </w:tc>
      </w:tr>
      <w:tr w:rsidR="002E11D9" w:rsidTr="00EA216C">
        <w:trPr>
          <w:trHeight w:val="271"/>
        </w:trPr>
        <w:tc>
          <w:tcPr>
            <w:tcW w:w="1937" w:type="dxa"/>
          </w:tcPr>
          <w:p w:rsidR="005B5926" w:rsidRDefault="002E11D9">
            <w:pPr>
              <w:pStyle w:val="ListParagraph"/>
              <w:ind w:left="0"/>
              <w:rPr>
                <w:rFonts w:cs="Arial"/>
                <w:szCs w:val="24"/>
              </w:rPr>
            </w:pPr>
            <w:r>
              <w:rPr>
                <w:rFonts w:cs="Arial"/>
                <w:szCs w:val="24"/>
              </w:rPr>
              <w:t>2019/20</w:t>
            </w:r>
          </w:p>
        </w:tc>
        <w:tc>
          <w:tcPr>
            <w:tcW w:w="2749" w:type="dxa"/>
          </w:tcPr>
          <w:p w:rsidR="005B5926" w:rsidRDefault="002E11D9" w:rsidP="00A26B10">
            <w:pPr>
              <w:pStyle w:val="ListParagraph"/>
              <w:ind w:left="0"/>
              <w:jc w:val="center"/>
              <w:rPr>
                <w:rFonts w:cs="Arial"/>
                <w:szCs w:val="24"/>
              </w:rPr>
            </w:pPr>
            <w:r>
              <w:rPr>
                <w:rFonts w:cs="Arial"/>
                <w:szCs w:val="24"/>
              </w:rPr>
              <w:t>32.6</w:t>
            </w:r>
          </w:p>
        </w:tc>
        <w:tc>
          <w:tcPr>
            <w:tcW w:w="2901" w:type="dxa"/>
          </w:tcPr>
          <w:p w:rsidR="005B5926" w:rsidRDefault="002E11D9" w:rsidP="00A26B10">
            <w:pPr>
              <w:pStyle w:val="ListParagraph"/>
              <w:ind w:left="0"/>
              <w:jc w:val="center"/>
              <w:rPr>
                <w:rFonts w:cs="Arial"/>
                <w:szCs w:val="24"/>
              </w:rPr>
            </w:pPr>
            <w:r>
              <w:rPr>
                <w:rFonts w:cs="Arial"/>
                <w:szCs w:val="24"/>
              </w:rPr>
              <w:t>19%</w:t>
            </w:r>
          </w:p>
        </w:tc>
      </w:tr>
      <w:tr w:rsidR="002E11D9" w:rsidTr="00EA216C">
        <w:trPr>
          <w:trHeight w:val="271"/>
        </w:trPr>
        <w:tc>
          <w:tcPr>
            <w:tcW w:w="1937" w:type="dxa"/>
          </w:tcPr>
          <w:p w:rsidR="005B5926" w:rsidRDefault="002E11D9">
            <w:pPr>
              <w:pStyle w:val="ListParagraph"/>
              <w:ind w:left="0"/>
              <w:rPr>
                <w:rFonts w:cs="Arial"/>
                <w:szCs w:val="24"/>
              </w:rPr>
            </w:pPr>
            <w:r>
              <w:rPr>
                <w:rFonts w:cs="Arial"/>
                <w:szCs w:val="24"/>
              </w:rPr>
              <w:t>2020/21</w:t>
            </w:r>
          </w:p>
        </w:tc>
        <w:tc>
          <w:tcPr>
            <w:tcW w:w="2749" w:type="dxa"/>
          </w:tcPr>
          <w:p w:rsidR="005B5926" w:rsidRDefault="002E11D9" w:rsidP="00A26B10">
            <w:pPr>
              <w:pStyle w:val="ListParagraph"/>
              <w:ind w:left="0"/>
              <w:jc w:val="center"/>
              <w:rPr>
                <w:rFonts w:cs="Arial"/>
                <w:szCs w:val="24"/>
              </w:rPr>
            </w:pPr>
            <w:r>
              <w:rPr>
                <w:rFonts w:cs="Arial"/>
                <w:szCs w:val="24"/>
              </w:rPr>
              <w:t>33.8</w:t>
            </w:r>
          </w:p>
        </w:tc>
        <w:tc>
          <w:tcPr>
            <w:tcW w:w="2901" w:type="dxa"/>
          </w:tcPr>
          <w:p w:rsidR="005B5926" w:rsidRDefault="002E11D9" w:rsidP="00A26B10">
            <w:pPr>
              <w:pStyle w:val="ListParagraph"/>
              <w:ind w:left="0"/>
              <w:jc w:val="center"/>
              <w:rPr>
                <w:rFonts w:cs="Arial"/>
                <w:szCs w:val="24"/>
              </w:rPr>
            </w:pPr>
            <w:r>
              <w:rPr>
                <w:rFonts w:cs="Arial"/>
                <w:szCs w:val="24"/>
              </w:rPr>
              <w:t>20%</w:t>
            </w:r>
          </w:p>
        </w:tc>
      </w:tr>
      <w:tr w:rsidR="002E11D9" w:rsidTr="00EA216C">
        <w:trPr>
          <w:trHeight w:val="271"/>
        </w:trPr>
        <w:tc>
          <w:tcPr>
            <w:tcW w:w="1937" w:type="dxa"/>
          </w:tcPr>
          <w:p w:rsidR="005B5926" w:rsidRDefault="002E11D9">
            <w:pPr>
              <w:pStyle w:val="ListParagraph"/>
              <w:ind w:left="0"/>
              <w:rPr>
                <w:rFonts w:cs="Arial"/>
                <w:szCs w:val="24"/>
              </w:rPr>
            </w:pPr>
            <w:r>
              <w:rPr>
                <w:rFonts w:cs="Arial"/>
                <w:szCs w:val="24"/>
              </w:rPr>
              <w:t>2021/22</w:t>
            </w:r>
          </w:p>
        </w:tc>
        <w:tc>
          <w:tcPr>
            <w:tcW w:w="2749" w:type="dxa"/>
          </w:tcPr>
          <w:p w:rsidR="005B5926" w:rsidRDefault="002E11D9" w:rsidP="00A26B10">
            <w:pPr>
              <w:pStyle w:val="ListParagraph"/>
              <w:ind w:left="0"/>
              <w:jc w:val="center"/>
              <w:rPr>
                <w:rFonts w:cs="Arial"/>
                <w:szCs w:val="24"/>
              </w:rPr>
            </w:pPr>
            <w:r>
              <w:rPr>
                <w:rFonts w:cs="Arial"/>
                <w:szCs w:val="24"/>
              </w:rPr>
              <w:t>35.7</w:t>
            </w:r>
          </w:p>
        </w:tc>
        <w:tc>
          <w:tcPr>
            <w:tcW w:w="2901" w:type="dxa"/>
          </w:tcPr>
          <w:p w:rsidR="005B5926" w:rsidRDefault="002E11D9" w:rsidP="00A26B10">
            <w:pPr>
              <w:pStyle w:val="ListParagraph"/>
              <w:ind w:left="0"/>
              <w:jc w:val="center"/>
              <w:rPr>
                <w:rFonts w:cs="Arial"/>
                <w:szCs w:val="24"/>
              </w:rPr>
            </w:pPr>
            <w:r>
              <w:rPr>
                <w:rFonts w:cs="Arial"/>
                <w:szCs w:val="24"/>
              </w:rPr>
              <w:t>21%</w:t>
            </w:r>
          </w:p>
        </w:tc>
      </w:tr>
    </w:tbl>
    <w:p w:rsidR="005B5926" w:rsidRDefault="005B5926" w:rsidP="00A26B10">
      <w:pPr>
        <w:pStyle w:val="ListParagraph"/>
        <w:rPr>
          <w:rFonts w:cs="Arial"/>
          <w:szCs w:val="24"/>
        </w:rPr>
      </w:pPr>
    </w:p>
    <w:p w:rsidR="005E1647" w:rsidRDefault="00B67C31" w:rsidP="00EA216C">
      <w:pPr>
        <w:tabs>
          <w:tab w:val="left" w:pos="567"/>
        </w:tabs>
        <w:rPr>
          <w:rFonts w:cs="Arial"/>
          <w:b/>
          <w:szCs w:val="24"/>
        </w:rPr>
      </w:pPr>
      <w:r>
        <w:rPr>
          <w:rFonts w:cs="Arial"/>
          <w:szCs w:val="24"/>
        </w:rPr>
        <w:tab/>
      </w:r>
      <w:r w:rsidR="005E1647" w:rsidRPr="00A26B10">
        <w:rPr>
          <w:rFonts w:cs="Arial"/>
          <w:b/>
          <w:szCs w:val="24"/>
        </w:rPr>
        <w:t xml:space="preserve">New Capital </w:t>
      </w:r>
      <w:r w:rsidRPr="00A26B10">
        <w:rPr>
          <w:rFonts w:cs="Arial"/>
          <w:b/>
          <w:szCs w:val="24"/>
        </w:rPr>
        <w:t>proposals</w:t>
      </w:r>
      <w:r w:rsidR="005E1647">
        <w:rPr>
          <w:rFonts w:cs="Arial"/>
          <w:b/>
          <w:szCs w:val="24"/>
        </w:rPr>
        <w:t xml:space="preserve"> put forward 20</w:t>
      </w:r>
      <w:r w:rsidR="00E919C9">
        <w:rPr>
          <w:rFonts w:cs="Arial"/>
          <w:b/>
          <w:szCs w:val="24"/>
        </w:rPr>
        <w:t>20</w:t>
      </w:r>
      <w:r w:rsidR="005E1647">
        <w:rPr>
          <w:rFonts w:cs="Arial"/>
          <w:b/>
          <w:szCs w:val="24"/>
        </w:rPr>
        <w:t>/2</w:t>
      </w:r>
      <w:r w:rsidR="00E919C9">
        <w:rPr>
          <w:rFonts w:cs="Arial"/>
          <w:b/>
          <w:szCs w:val="24"/>
        </w:rPr>
        <w:t>1</w:t>
      </w:r>
      <w:r w:rsidR="005E1647">
        <w:rPr>
          <w:rFonts w:cs="Arial"/>
          <w:b/>
          <w:szCs w:val="24"/>
        </w:rPr>
        <w:t xml:space="preserve"> to 202</w:t>
      </w:r>
      <w:r w:rsidR="00E919C9">
        <w:rPr>
          <w:rFonts w:cs="Arial"/>
          <w:b/>
          <w:szCs w:val="24"/>
        </w:rPr>
        <w:t>2</w:t>
      </w:r>
      <w:r w:rsidR="005E1647">
        <w:rPr>
          <w:rFonts w:cs="Arial"/>
          <w:b/>
          <w:szCs w:val="24"/>
        </w:rPr>
        <w:t>/2</w:t>
      </w:r>
      <w:r w:rsidR="00E919C9">
        <w:rPr>
          <w:rFonts w:cs="Arial"/>
          <w:b/>
          <w:szCs w:val="24"/>
        </w:rPr>
        <w:t>3</w:t>
      </w:r>
    </w:p>
    <w:p w:rsidR="005E1647" w:rsidRDefault="00E919C9" w:rsidP="00CF078D">
      <w:pPr>
        <w:pStyle w:val="ListParagraph"/>
        <w:numPr>
          <w:ilvl w:val="0"/>
          <w:numId w:val="27"/>
        </w:numPr>
        <w:tabs>
          <w:tab w:val="clear" w:pos="360"/>
          <w:tab w:val="left" w:pos="426"/>
          <w:tab w:val="num" w:pos="567"/>
        </w:tabs>
        <w:ind w:left="567" w:hanging="567"/>
        <w:rPr>
          <w:rFonts w:cs="Arial"/>
          <w:szCs w:val="24"/>
        </w:rPr>
      </w:pPr>
      <w:r>
        <w:rPr>
          <w:rFonts w:cs="Arial"/>
          <w:szCs w:val="24"/>
        </w:rPr>
        <w:t xml:space="preserve">The </w:t>
      </w:r>
      <w:r w:rsidR="005E1647" w:rsidRPr="00FE40AF">
        <w:rPr>
          <w:rFonts w:cs="Arial"/>
          <w:szCs w:val="24"/>
        </w:rPr>
        <w:t xml:space="preserve">new proposed </w:t>
      </w:r>
      <w:r>
        <w:rPr>
          <w:rFonts w:cs="Arial"/>
          <w:szCs w:val="24"/>
        </w:rPr>
        <w:t xml:space="preserve">capital </w:t>
      </w:r>
      <w:r w:rsidR="005E1647" w:rsidRPr="00FE40AF">
        <w:rPr>
          <w:rFonts w:cs="Arial"/>
          <w:szCs w:val="24"/>
        </w:rPr>
        <w:t>projects</w:t>
      </w:r>
      <w:r>
        <w:rPr>
          <w:rFonts w:cs="Arial"/>
          <w:szCs w:val="24"/>
        </w:rPr>
        <w:t xml:space="preserve"> </w:t>
      </w:r>
      <w:r w:rsidR="005E1647" w:rsidRPr="00FE40AF">
        <w:rPr>
          <w:rFonts w:cs="Arial"/>
          <w:szCs w:val="24"/>
        </w:rPr>
        <w:t>for 20</w:t>
      </w:r>
      <w:r w:rsidR="001E570C">
        <w:rPr>
          <w:rFonts w:cs="Arial"/>
          <w:szCs w:val="24"/>
        </w:rPr>
        <w:t>20</w:t>
      </w:r>
      <w:r w:rsidR="005E1647" w:rsidRPr="00FE40AF">
        <w:rPr>
          <w:rFonts w:cs="Arial"/>
          <w:szCs w:val="24"/>
        </w:rPr>
        <w:t>/2</w:t>
      </w:r>
      <w:r w:rsidR="001E570C">
        <w:rPr>
          <w:rFonts w:cs="Arial"/>
          <w:szCs w:val="24"/>
        </w:rPr>
        <w:t>1</w:t>
      </w:r>
      <w:r w:rsidR="005E1647" w:rsidRPr="00FE40AF">
        <w:rPr>
          <w:rFonts w:cs="Arial"/>
          <w:szCs w:val="24"/>
        </w:rPr>
        <w:t xml:space="preserve"> </w:t>
      </w:r>
      <w:r w:rsidR="001E570C">
        <w:rPr>
          <w:rFonts w:cs="Arial"/>
          <w:szCs w:val="24"/>
        </w:rPr>
        <w:t>to 2022/23</w:t>
      </w:r>
      <w:r w:rsidR="005E1647" w:rsidRPr="00FE40AF">
        <w:rPr>
          <w:rFonts w:cs="Arial"/>
          <w:szCs w:val="24"/>
        </w:rPr>
        <w:t xml:space="preserve"> is detailed in </w:t>
      </w:r>
      <w:r w:rsidR="00CF078D">
        <w:rPr>
          <w:rFonts w:cs="Arial"/>
          <w:szCs w:val="24"/>
        </w:rPr>
        <w:t>A</w:t>
      </w:r>
      <w:r w:rsidR="005E1647" w:rsidRPr="00FE40AF">
        <w:rPr>
          <w:rFonts w:cs="Arial"/>
          <w:szCs w:val="24"/>
        </w:rPr>
        <w:t xml:space="preserve">ppendix 1 and summarised in Table </w:t>
      </w:r>
      <w:r>
        <w:rPr>
          <w:rFonts w:cs="Arial"/>
          <w:szCs w:val="24"/>
        </w:rPr>
        <w:t>1.</w:t>
      </w:r>
    </w:p>
    <w:p w:rsidR="00272CC5" w:rsidRPr="00FE40AF" w:rsidRDefault="00272CC5" w:rsidP="00A26B10">
      <w:pPr>
        <w:pStyle w:val="ListParagraph"/>
        <w:tabs>
          <w:tab w:val="left" w:pos="426"/>
        </w:tabs>
        <w:ind w:left="360"/>
        <w:rPr>
          <w:rFonts w:cs="Arial"/>
          <w:szCs w:val="24"/>
        </w:rPr>
      </w:pPr>
    </w:p>
    <w:p w:rsidR="005E1647" w:rsidRPr="00FE4454" w:rsidRDefault="00AA5CE1" w:rsidP="005E1647">
      <w:pPr>
        <w:pStyle w:val="ListParagraph"/>
        <w:numPr>
          <w:ilvl w:val="0"/>
          <w:numId w:val="27"/>
        </w:numPr>
        <w:spacing w:after="200"/>
        <w:rPr>
          <w:rFonts w:cs="Arial"/>
          <w:b/>
          <w:szCs w:val="24"/>
        </w:rPr>
      </w:pPr>
      <w:r>
        <w:t xml:space="preserve"> </w:t>
      </w:r>
      <w:r w:rsidR="005E1647" w:rsidRPr="002A4BBF">
        <w:t xml:space="preserve">The gross value of the </w:t>
      </w:r>
      <w:r w:rsidR="00E919C9">
        <w:t xml:space="preserve">new proposed capital projects for 2020/21 to </w:t>
      </w:r>
      <w:r>
        <w:t xml:space="preserve"> </w:t>
      </w:r>
      <w:r w:rsidR="00E919C9">
        <w:t xml:space="preserve">2022/23 as detailed in Appendix 1 and summarised in </w:t>
      </w:r>
      <w:r w:rsidR="00E919C9" w:rsidRPr="009047F3">
        <w:t>Table 1</w:t>
      </w:r>
      <w:r w:rsidR="005E1647" w:rsidRPr="009047F3">
        <w:t xml:space="preserve"> is </w:t>
      </w:r>
      <w:r w:rsidR="005E1647" w:rsidRPr="00FE4454">
        <w:rPr>
          <w:b/>
        </w:rPr>
        <w:t>£</w:t>
      </w:r>
      <w:r w:rsidR="009047F3" w:rsidRPr="00FE4454">
        <w:rPr>
          <w:b/>
        </w:rPr>
        <w:t>71</w:t>
      </w:r>
      <w:r w:rsidR="005E1647" w:rsidRPr="00FE4454">
        <w:rPr>
          <w:b/>
        </w:rPr>
        <w:t>.</w:t>
      </w:r>
      <w:r w:rsidR="009047F3" w:rsidRPr="00FE4454">
        <w:rPr>
          <w:b/>
        </w:rPr>
        <w:t>137</w:t>
      </w:r>
      <w:r w:rsidR="005E1647" w:rsidRPr="00FE4454">
        <w:rPr>
          <w:b/>
        </w:rPr>
        <w:t xml:space="preserve">m, </w:t>
      </w:r>
      <w:r w:rsidRPr="00FE4454">
        <w:rPr>
          <w:b/>
        </w:rPr>
        <w:t xml:space="preserve"> </w:t>
      </w:r>
      <w:r w:rsidR="005E1647" w:rsidRPr="009047F3">
        <w:lastRenderedPageBreak/>
        <w:t>with external funding</w:t>
      </w:r>
      <w:r w:rsidR="009047F3" w:rsidRPr="009047F3">
        <w:t xml:space="preserve"> (which includes the use of Borough CIL funding)</w:t>
      </w:r>
      <w:r w:rsidR="005E1647" w:rsidRPr="009047F3">
        <w:t xml:space="preserve"> of </w:t>
      </w:r>
      <w:r w:rsidR="005E1647" w:rsidRPr="00FE4454">
        <w:rPr>
          <w:b/>
        </w:rPr>
        <w:t>£</w:t>
      </w:r>
      <w:r w:rsidR="009047F3" w:rsidRPr="00FE4454">
        <w:rPr>
          <w:b/>
        </w:rPr>
        <w:t>18.</w:t>
      </w:r>
      <w:r w:rsidR="007D5637">
        <w:rPr>
          <w:b/>
        </w:rPr>
        <w:t>4</w:t>
      </w:r>
      <w:r w:rsidR="009047F3" w:rsidRPr="00FE4454">
        <w:rPr>
          <w:b/>
        </w:rPr>
        <w:t>10</w:t>
      </w:r>
      <w:r w:rsidR="005E1647" w:rsidRPr="00FE4454">
        <w:rPr>
          <w:b/>
        </w:rPr>
        <w:t>m</w:t>
      </w:r>
      <w:r w:rsidR="005E1647" w:rsidRPr="009047F3">
        <w:t xml:space="preserve"> and a net increase in the programme of </w:t>
      </w:r>
      <w:r w:rsidR="005E1647" w:rsidRPr="00FE4454">
        <w:rPr>
          <w:b/>
        </w:rPr>
        <w:t>£</w:t>
      </w:r>
      <w:r w:rsidR="009047F3" w:rsidRPr="00FE4454">
        <w:rPr>
          <w:b/>
        </w:rPr>
        <w:t>5</w:t>
      </w:r>
      <w:r w:rsidR="007D5637">
        <w:rPr>
          <w:b/>
        </w:rPr>
        <w:t>2</w:t>
      </w:r>
      <w:r w:rsidR="009047F3" w:rsidRPr="00FE4454">
        <w:rPr>
          <w:b/>
        </w:rPr>
        <w:t>.</w:t>
      </w:r>
      <w:r w:rsidR="007D5637">
        <w:rPr>
          <w:b/>
        </w:rPr>
        <w:t>727</w:t>
      </w:r>
      <w:r w:rsidR="005E1647" w:rsidRPr="00FE4454">
        <w:rPr>
          <w:b/>
        </w:rPr>
        <w:t xml:space="preserve">m.  </w:t>
      </w:r>
    </w:p>
    <w:p w:rsidR="00FE4454" w:rsidRPr="00FE4454" w:rsidRDefault="00FE4454" w:rsidP="00FE4454">
      <w:pPr>
        <w:pStyle w:val="ListParagraph"/>
        <w:rPr>
          <w:rFonts w:cs="Arial"/>
          <w:b/>
          <w:szCs w:val="24"/>
        </w:rPr>
      </w:pPr>
    </w:p>
    <w:p w:rsidR="00FE4454" w:rsidRPr="00FE4454" w:rsidRDefault="00FE4454" w:rsidP="005E1647">
      <w:pPr>
        <w:pStyle w:val="ListParagraph"/>
        <w:numPr>
          <w:ilvl w:val="0"/>
          <w:numId w:val="27"/>
        </w:numPr>
        <w:spacing w:after="200"/>
        <w:rPr>
          <w:rFonts w:cs="Arial"/>
          <w:b/>
          <w:szCs w:val="24"/>
        </w:rPr>
      </w:pPr>
      <w:r>
        <w:rPr>
          <w:rFonts w:cs="Arial"/>
          <w:szCs w:val="24"/>
        </w:rPr>
        <w:t>A summary of the net £18.</w:t>
      </w:r>
      <w:r w:rsidR="0008529A">
        <w:rPr>
          <w:rFonts w:cs="Arial"/>
          <w:szCs w:val="24"/>
        </w:rPr>
        <w:t>4</w:t>
      </w:r>
      <w:r>
        <w:rPr>
          <w:rFonts w:cs="Arial"/>
          <w:szCs w:val="24"/>
        </w:rPr>
        <w:t>10m of external funding</w:t>
      </w:r>
      <w:r w:rsidR="0008529A">
        <w:rPr>
          <w:rFonts w:cs="Arial"/>
          <w:szCs w:val="24"/>
        </w:rPr>
        <w:t xml:space="preserve">/BCIL </w:t>
      </w:r>
      <w:r>
        <w:rPr>
          <w:rFonts w:cs="Arial"/>
          <w:szCs w:val="24"/>
        </w:rPr>
        <w:t xml:space="preserve">is </w:t>
      </w:r>
      <w:r w:rsidR="0008529A">
        <w:rPr>
          <w:rFonts w:cs="Arial"/>
          <w:szCs w:val="24"/>
        </w:rPr>
        <w:t xml:space="preserve">set out below which shows the split between £11.874m of external grant funding and £6.536m of BCIL </w:t>
      </w:r>
      <w:r>
        <w:rPr>
          <w:rFonts w:cs="Arial"/>
          <w:szCs w:val="24"/>
        </w:rPr>
        <w:t>as follows:</w:t>
      </w:r>
    </w:p>
    <w:p w:rsidR="00FE4454" w:rsidRPr="00FE4454" w:rsidRDefault="00FE4454" w:rsidP="00FE4454">
      <w:pPr>
        <w:pStyle w:val="ListParagraph"/>
        <w:rPr>
          <w:rFonts w:cs="Arial"/>
          <w:b/>
          <w:szCs w:val="24"/>
        </w:rPr>
      </w:pPr>
    </w:p>
    <w:p w:rsidR="00FE4454" w:rsidRPr="0044355D" w:rsidRDefault="00FE4454" w:rsidP="00FE4454">
      <w:pPr>
        <w:pStyle w:val="ListParagraph"/>
        <w:numPr>
          <w:ilvl w:val="0"/>
          <w:numId w:val="45"/>
        </w:numPr>
        <w:spacing w:after="200"/>
        <w:rPr>
          <w:rFonts w:cs="Arial"/>
          <w:szCs w:val="24"/>
        </w:rPr>
      </w:pPr>
      <w:r>
        <w:rPr>
          <w:rFonts w:cs="Arial"/>
          <w:b/>
          <w:szCs w:val="24"/>
        </w:rPr>
        <w:t xml:space="preserve">£5.340m </w:t>
      </w:r>
      <w:r w:rsidRPr="0044355D">
        <w:rPr>
          <w:rFonts w:cs="Arial"/>
          <w:szCs w:val="24"/>
        </w:rPr>
        <w:t xml:space="preserve">TFL Funding for the Wealdstone </w:t>
      </w:r>
      <w:r w:rsidR="00D903B0">
        <w:rPr>
          <w:rFonts w:cs="Arial"/>
          <w:szCs w:val="24"/>
        </w:rPr>
        <w:t xml:space="preserve">Major Transport </w:t>
      </w:r>
      <w:r w:rsidRPr="0044355D">
        <w:rPr>
          <w:rFonts w:cs="Arial"/>
          <w:szCs w:val="24"/>
        </w:rPr>
        <w:t>Project</w:t>
      </w:r>
    </w:p>
    <w:p w:rsidR="00FE4454" w:rsidRPr="0044355D" w:rsidRDefault="0044355D" w:rsidP="00FE4454">
      <w:pPr>
        <w:pStyle w:val="ListParagraph"/>
        <w:numPr>
          <w:ilvl w:val="0"/>
          <w:numId w:val="45"/>
        </w:numPr>
        <w:spacing w:after="200"/>
        <w:rPr>
          <w:rFonts w:cs="Arial"/>
          <w:szCs w:val="24"/>
        </w:rPr>
      </w:pPr>
      <w:r>
        <w:rPr>
          <w:rFonts w:cs="Arial"/>
          <w:b/>
          <w:szCs w:val="24"/>
        </w:rPr>
        <w:t xml:space="preserve">£2.782m </w:t>
      </w:r>
      <w:r w:rsidRPr="0044355D">
        <w:rPr>
          <w:rFonts w:cs="Arial"/>
          <w:szCs w:val="24"/>
        </w:rPr>
        <w:t>TFL Funding for the Local Implementation Parking Programme.</w:t>
      </w:r>
    </w:p>
    <w:p w:rsidR="0044355D" w:rsidRDefault="0044355D" w:rsidP="00FE4454">
      <w:pPr>
        <w:pStyle w:val="ListParagraph"/>
        <w:numPr>
          <w:ilvl w:val="0"/>
          <w:numId w:val="45"/>
        </w:numPr>
        <w:spacing w:after="200"/>
        <w:rPr>
          <w:rFonts w:cs="Arial"/>
          <w:szCs w:val="24"/>
        </w:rPr>
      </w:pPr>
      <w:r>
        <w:rPr>
          <w:rFonts w:cs="Arial"/>
          <w:b/>
          <w:szCs w:val="24"/>
        </w:rPr>
        <w:t xml:space="preserve">£3.034m </w:t>
      </w:r>
      <w:r w:rsidRPr="0044355D">
        <w:rPr>
          <w:rFonts w:cs="Arial"/>
          <w:szCs w:val="24"/>
        </w:rPr>
        <w:t>Grant Funding for Disabled Facilities Grants</w:t>
      </w:r>
    </w:p>
    <w:p w:rsidR="0044355D" w:rsidRPr="0044355D" w:rsidRDefault="0044355D" w:rsidP="00FE4454">
      <w:pPr>
        <w:pStyle w:val="ListParagraph"/>
        <w:numPr>
          <w:ilvl w:val="0"/>
          <w:numId w:val="45"/>
        </w:numPr>
        <w:spacing w:after="200"/>
        <w:rPr>
          <w:rFonts w:cs="Arial"/>
          <w:szCs w:val="24"/>
        </w:rPr>
      </w:pPr>
      <w:r>
        <w:rPr>
          <w:rFonts w:cs="Arial"/>
          <w:b/>
          <w:szCs w:val="24"/>
        </w:rPr>
        <w:t xml:space="preserve">£0.718m </w:t>
      </w:r>
      <w:r w:rsidRPr="0044355D">
        <w:rPr>
          <w:rFonts w:cs="Arial"/>
          <w:szCs w:val="24"/>
        </w:rPr>
        <w:t xml:space="preserve">Environment Agency Funding for Headstone </w:t>
      </w:r>
      <w:r w:rsidR="007D5637">
        <w:rPr>
          <w:rFonts w:cs="Arial"/>
          <w:szCs w:val="24"/>
        </w:rPr>
        <w:t xml:space="preserve">Manor </w:t>
      </w:r>
      <w:r w:rsidRPr="0044355D">
        <w:rPr>
          <w:rFonts w:cs="Arial"/>
          <w:szCs w:val="24"/>
        </w:rPr>
        <w:t xml:space="preserve">Flood </w:t>
      </w:r>
      <w:r w:rsidR="007D5637">
        <w:rPr>
          <w:rFonts w:cs="Arial"/>
          <w:szCs w:val="24"/>
        </w:rPr>
        <w:t xml:space="preserve">Alleviation </w:t>
      </w:r>
      <w:r w:rsidRPr="0044355D">
        <w:rPr>
          <w:rFonts w:cs="Arial"/>
          <w:szCs w:val="24"/>
        </w:rPr>
        <w:t xml:space="preserve"> Scheme</w:t>
      </w:r>
    </w:p>
    <w:p w:rsidR="0044355D" w:rsidRDefault="0044355D" w:rsidP="00FE4454">
      <w:pPr>
        <w:pStyle w:val="ListParagraph"/>
        <w:numPr>
          <w:ilvl w:val="0"/>
          <w:numId w:val="45"/>
        </w:numPr>
        <w:spacing w:after="200"/>
        <w:rPr>
          <w:rFonts w:cs="Arial"/>
          <w:szCs w:val="24"/>
        </w:rPr>
      </w:pPr>
      <w:r w:rsidRPr="007D5637">
        <w:rPr>
          <w:rFonts w:cs="Arial"/>
          <w:b/>
          <w:szCs w:val="24"/>
        </w:rPr>
        <w:t>£</w:t>
      </w:r>
      <w:r w:rsidR="007D5637" w:rsidRPr="007D5637">
        <w:rPr>
          <w:rFonts w:cs="Arial"/>
          <w:b/>
          <w:szCs w:val="24"/>
        </w:rPr>
        <w:t>2.076m</w:t>
      </w:r>
      <w:r>
        <w:rPr>
          <w:rFonts w:cs="Arial"/>
          <w:szCs w:val="24"/>
        </w:rPr>
        <w:t xml:space="preserve"> BCIL for Harrow Arts Centre</w:t>
      </w:r>
    </w:p>
    <w:p w:rsidR="007D5637" w:rsidRPr="007D5637" w:rsidRDefault="007D5637" w:rsidP="00FE4454">
      <w:pPr>
        <w:pStyle w:val="ListParagraph"/>
        <w:numPr>
          <w:ilvl w:val="0"/>
          <w:numId w:val="45"/>
        </w:numPr>
        <w:spacing w:after="200"/>
        <w:rPr>
          <w:rFonts w:cs="Arial"/>
          <w:szCs w:val="24"/>
        </w:rPr>
      </w:pPr>
      <w:r>
        <w:rPr>
          <w:rFonts w:cs="Arial"/>
          <w:b/>
          <w:szCs w:val="24"/>
        </w:rPr>
        <w:t xml:space="preserve">£2.660m </w:t>
      </w:r>
      <w:r w:rsidRPr="007D5637">
        <w:rPr>
          <w:rFonts w:cs="Arial"/>
          <w:szCs w:val="24"/>
        </w:rPr>
        <w:t>BCIL for the Wealdstone Project</w:t>
      </w:r>
    </w:p>
    <w:p w:rsidR="007D5637" w:rsidRDefault="007D5637" w:rsidP="00FE4454">
      <w:pPr>
        <w:pStyle w:val="ListParagraph"/>
        <w:numPr>
          <w:ilvl w:val="0"/>
          <w:numId w:val="45"/>
        </w:numPr>
        <w:spacing w:after="200"/>
        <w:rPr>
          <w:rFonts w:cs="Arial"/>
          <w:szCs w:val="24"/>
        </w:rPr>
      </w:pPr>
      <w:r>
        <w:rPr>
          <w:rFonts w:cs="Arial"/>
          <w:b/>
          <w:szCs w:val="24"/>
        </w:rPr>
        <w:t xml:space="preserve">£1.0m </w:t>
      </w:r>
      <w:r w:rsidRPr="007D5637">
        <w:rPr>
          <w:rFonts w:cs="Arial"/>
          <w:szCs w:val="24"/>
        </w:rPr>
        <w:t>BCIL for Flood Defence and Highways Drainage</w:t>
      </w:r>
    </w:p>
    <w:p w:rsidR="007D5637" w:rsidRPr="007D5637" w:rsidRDefault="007D5637" w:rsidP="00FE4454">
      <w:pPr>
        <w:pStyle w:val="ListParagraph"/>
        <w:numPr>
          <w:ilvl w:val="0"/>
          <w:numId w:val="45"/>
        </w:numPr>
        <w:spacing w:after="200"/>
        <w:rPr>
          <w:rFonts w:cs="Arial"/>
          <w:szCs w:val="24"/>
        </w:rPr>
      </w:pPr>
      <w:r>
        <w:rPr>
          <w:rFonts w:cs="Arial"/>
          <w:b/>
          <w:szCs w:val="24"/>
        </w:rPr>
        <w:t xml:space="preserve">£300k </w:t>
      </w:r>
      <w:r w:rsidRPr="007D5637">
        <w:rPr>
          <w:rFonts w:cs="Arial"/>
          <w:szCs w:val="24"/>
        </w:rPr>
        <w:t>BCIL for the Green Grid Programme</w:t>
      </w:r>
    </w:p>
    <w:p w:rsidR="007D5637" w:rsidRDefault="007D5637" w:rsidP="00FE4454">
      <w:pPr>
        <w:pStyle w:val="ListParagraph"/>
        <w:numPr>
          <w:ilvl w:val="0"/>
          <w:numId w:val="45"/>
        </w:numPr>
        <w:spacing w:after="200"/>
        <w:rPr>
          <w:rFonts w:cs="Arial"/>
          <w:szCs w:val="24"/>
        </w:rPr>
      </w:pPr>
      <w:r w:rsidRPr="007D5637">
        <w:rPr>
          <w:rFonts w:cs="Arial"/>
          <w:b/>
          <w:szCs w:val="24"/>
        </w:rPr>
        <w:t>£500k</w:t>
      </w:r>
      <w:r>
        <w:rPr>
          <w:rFonts w:cs="Arial"/>
          <w:szCs w:val="24"/>
        </w:rPr>
        <w:t xml:space="preserve"> BCIL for the Headstone Manor Flood Alleviation Scheme</w:t>
      </w:r>
    </w:p>
    <w:p w:rsidR="00FE4454" w:rsidRDefault="00FE4454" w:rsidP="00FE4454">
      <w:pPr>
        <w:numPr>
          <w:ilvl w:val="0"/>
          <w:numId w:val="27"/>
        </w:numPr>
        <w:tabs>
          <w:tab w:val="num" w:pos="1985"/>
        </w:tabs>
        <w:jc w:val="both"/>
        <w:rPr>
          <w:rFonts w:cs="Arial"/>
          <w:szCs w:val="24"/>
        </w:rPr>
      </w:pPr>
      <w:r>
        <w:rPr>
          <w:rFonts w:cs="Arial"/>
          <w:szCs w:val="24"/>
        </w:rPr>
        <w:t xml:space="preserve">When bids were invited for 2020/21 to 2022/23, it was on the basis that unless they were life and limb/Health and Safety or required as a result of Statutory requirements/legislation, they would be either funded from external funding or generate revenue savings which would as a minimum, cover the capital financing costs so there would be no net revenue impact to the Council as a result of any additional </w:t>
      </w:r>
      <w:r w:rsidRPr="000603F8">
        <w:rPr>
          <w:rFonts w:cs="Arial"/>
          <w:szCs w:val="24"/>
        </w:rPr>
        <w:t>borrowing</w:t>
      </w:r>
      <w:r>
        <w:rPr>
          <w:rFonts w:cs="Arial"/>
          <w:szCs w:val="24"/>
        </w:rPr>
        <w:t xml:space="preserve"> required. </w:t>
      </w:r>
      <w:r w:rsidRPr="000603F8">
        <w:rPr>
          <w:rFonts w:cs="Arial"/>
          <w:szCs w:val="24"/>
        </w:rPr>
        <w:t xml:space="preserve"> </w:t>
      </w:r>
    </w:p>
    <w:p w:rsidR="00FE4454" w:rsidRPr="009047F3" w:rsidRDefault="00FE4454" w:rsidP="00FE4454">
      <w:pPr>
        <w:pStyle w:val="ListParagraph"/>
        <w:spacing w:after="200"/>
        <w:ind w:left="360"/>
        <w:rPr>
          <w:rFonts w:cs="Arial"/>
          <w:szCs w:val="24"/>
        </w:rPr>
      </w:pPr>
    </w:p>
    <w:p w:rsidR="009047F3" w:rsidRPr="009047F3" w:rsidRDefault="009047F3" w:rsidP="005E1647">
      <w:pPr>
        <w:pStyle w:val="ListParagraph"/>
        <w:numPr>
          <w:ilvl w:val="0"/>
          <w:numId w:val="27"/>
        </w:numPr>
        <w:spacing w:after="200"/>
        <w:rPr>
          <w:rFonts w:cs="Arial"/>
          <w:szCs w:val="24"/>
        </w:rPr>
      </w:pPr>
      <w:r>
        <w:rPr>
          <w:rFonts w:cs="Arial"/>
          <w:szCs w:val="24"/>
        </w:rPr>
        <w:t xml:space="preserve">Of this </w:t>
      </w:r>
      <w:r w:rsidR="00FE4454">
        <w:rPr>
          <w:rFonts w:cs="Arial"/>
          <w:szCs w:val="24"/>
        </w:rPr>
        <w:t xml:space="preserve">net </w:t>
      </w:r>
      <w:r>
        <w:rPr>
          <w:rFonts w:cs="Arial"/>
          <w:szCs w:val="24"/>
        </w:rPr>
        <w:t xml:space="preserve">total </w:t>
      </w:r>
      <w:r w:rsidR="00FE4454">
        <w:rPr>
          <w:rFonts w:cs="Arial"/>
          <w:szCs w:val="24"/>
        </w:rPr>
        <w:t xml:space="preserve">value </w:t>
      </w:r>
      <w:r>
        <w:rPr>
          <w:rFonts w:cs="Arial"/>
          <w:szCs w:val="24"/>
        </w:rPr>
        <w:t xml:space="preserve">of </w:t>
      </w:r>
      <w:r w:rsidR="00FE4454">
        <w:rPr>
          <w:rFonts w:cs="Arial"/>
          <w:szCs w:val="24"/>
        </w:rPr>
        <w:t xml:space="preserve">bids of </w:t>
      </w:r>
      <w:r>
        <w:rPr>
          <w:rFonts w:cs="Arial"/>
          <w:szCs w:val="24"/>
        </w:rPr>
        <w:t>£5</w:t>
      </w:r>
      <w:r w:rsidR="007D5637">
        <w:rPr>
          <w:rFonts w:cs="Arial"/>
          <w:szCs w:val="24"/>
        </w:rPr>
        <w:t>2</w:t>
      </w:r>
      <w:r>
        <w:rPr>
          <w:rFonts w:cs="Arial"/>
          <w:szCs w:val="24"/>
        </w:rPr>
        <w:t>.</w:t>
      </w:r>
      <w:r w:rsidR="007D5637">
        <w:rPr>
          <w:rFonts w:cs="Arial"/>
          <w:szCs w:val="24"/>
        </w:rPr>
        <w:t>727</w:t>
      </w:r>
      <w:r>
        <w:rPr>
          <w:rFonts w:cs="Arial"/>
          <w:szCs w:val="24"/>
        </w:rPr>
        <w:t>m, £30m relates to a continuation of the existing Property acquisition Programme in the Housing General Fund (£15m in 2021/22 and 2022/23).</w:t>
      </w:r>
      <w:r w:rsidR="00CF078D">
        <w:rPr>
          <w:rFonts w:cs="Arial"/>
          <w:szCs w:val="24"/>
        </w:rPr>
        <w:t xml:space="preserve"> This is put in the programme on the basis that the £30m will be funded through savings made in </w:t>
      </w:r>
      <w:r w:rsidR="00FE4454">
        <w:rPr>
          <w:rFonts w:cs="Arial"/>
          <w:szCs w:val="24"/>
        </w:rPr>
        <w:t xml:space="preserve">Temporary Accommodation costs in the </w:t>
      </w:r>
      <w:r w:rsidR="00CF078D">
        <w:rPr>
          <w:rFonts w:cs="Arial"/>
          <w:szCs w:val="24"/>
        </w:rPr>
        <w:t>Housing General Fund</w:t>
      </w:r>
      <w:r w:rsidR="00FE4454">
        <w:rPr>
          <w:rFonts w:cs="Arial"/>
          <w:szCs w:val="24"/>
        </w:rPr>
        <w:t xml:space="preserve"> and therefore cost neutral to the General Fund (as a minimum).</w:t>
      </w:r>
      <w:r w:rsidR="000232EB">
        <w:rPr>
          <w:rFonts w:cs="Arial"/>
          <w:szCs w:val="24"/>
        </w:rPr>
        <w:t xml:space="preserve">  Therefore, the remaining £22.727</w:t>
      </w:r>
      <w:r w:rsidR="00FE4454">
        <w:rPr>
          <w:rFonts w:cs="Arial"/>
          <w:szCs w:val="24"/>
        </w:rPr>
        <w:t>m is the net Capital Programme figure which will attract capital financing costs which needs to be funded from the revenue budget.</w:t>
      </w:r>
    </w:p>
    <w:p w:rsidR="00EB0149" w:rsidRDefault="007D5637" w:rsidP="00A26B10">
      <w:pPr>
        <w:numPr>
          <w:ilvl w:val="0"/>
          <w:numId w:val="27"/>
        </w:numPr>
        <w:tabs>
          <w:tab w:val="num" w:pos="1985"/>
        </w:tabs>
        <w:jc w:val="both"/>
        <w:rPr>
          <w:rFonts w:cs="Arial"/>
          <w:szCs w:val="24"/>
        </w:rPr>
      </w:pPr>
      <w:r w:rsidRPr="00625575">
        <w:rPr>
          <w:rFonts w:cs="Arial"/>
          <w:szCs w:val="24"/>
        </w:rPr>
        <w:t>The Capital Financing cost associated with the £2</w:t>
      </w:r>
      <w:r w:rsidR="000232EB">
        <w:rPr>
          <w:rFonts w:cs="Arial"/>
          <w:szCs w:val="24"/>
        </w:rPr>
        <w:t>2</w:t>
      </w:r>
      <w:r w:rsidRPr="00625575">
        <w:rPr>
          <w:rFonts w:cs="Arial"/>
          <w:szCs w:val="24"/>
        </w:rPr>
        <w:t>.</w:t>
      </w:r>
      <w:r w:rsidR="000232EB">
        <w:rPr>
          <w:rFonts w:cs="Arial"/>
          <w:szCs w:val="24"/>
        </w:rPr>
        <w:t>727</w:t>
      </w:r>
      <w:r w:rsidRPr="00625575">
        <w:rPr>
          <w:rFonts w:cs="Arial"/>
          <w:szCs w:val="24"/>
        </w:rPr>
        <w:t>m net Programme is £1.</w:t>
      </w:r>
      <w:r w:rsidR="00C1132B">
        <w:rPr>
          <w:rFonts w:cs="Arial"/>
          <w:szCs w:val="24"/>
        </w:rPr>
        <w:t>084m</w:t>
      </w:r>
      <w:r w:rsidRPr="00625575">
        <w:rPr>
          <w:rFonts w:cs="Arial"/>
          <w:szCs w:val="24"/>
        </w:rPr>
        <w:t xml:space="preserve"> which is within the £1.25m </w:t>
      </w:r>
      <w:r w:rsidR="00C1132B">
        <w:rPr>
          <w:rFonts w:cs="Arial"/>
          <w:szCs w:val="24"/>
        </w:rPr>
        <w:t xml:space="preserve">funding included </w:t>
      </w:r>
      <w:r w:rsidRPr="00625575">
        <w:rPr>
          <w:rFonts w:cs="Arial"/>
          <w:szCs w:val="24"/>
        </w:rPr>
        <w:t>in the Budget in 2022/23.  There is an incremental cost of £</w:t>
      </w:r>
      <w:r w:rsidR="00C1132B">
        <w:rPr>
          <w:rFonts w:cs="Arial"/>
          <w:szCs w:val="24"/>
        </w:rPr>
        <w:t>532</w:t>
      </w:r>
      <w:r w:rsidRPr="00625575">
        <w:rPr>
          <w:rFonts w:cs="Arial"/>
          <w:szCs w:val="24"/>
        </w:rPr>
        <w:t>k in 2023/24 as the full Capital Financing cost</w:t>
      </w:r>
      <w:r w:rsidR="00C1132B">
        <w:rPr>
          <w:rFonts w:cs="Arial"/>
          <w:szCs w:val="24"/>
        </w:rPr>
        <w:t xml:space="preserve"> increases to £1.782m </w:t>
      </w:r>
      <w:r w:rsidRPr="00625575">
        <w:rPr>
          <w:rFonts w:cs="Arial"/>
          <w:szCs w:val="24"/>
        </w:rPr>
        <w:t>in 2023/24.  The</w:t>
      </w:r>
      <w:r w:rsidR="00C1132B">
        <w:rPr>
          <w:rFonts w:cs="Arial"/>
          <w:szCs w:val="24"/>
        </w:rPr>
        <w:t>refore, an</w:t>
      </w:r>
      <w:r w:rsidRPr="00625575">
        <w:rPr>
          <w:rFonts w:cs="Arial"/>
          <w:szCs w:val="24"/>
        </w:rPr>
        <w:t xml:space="preserve"> additional £532k needs to be factored into the budget </w:t>
      </w:r>
      <w:r w:rsidR="00D903B0">
        <w:rPr>
          <w:rFonts w:cs="Arial"/>
          <w:szCs w:val="24"/>
        </w:rPr>
        <w:t xml:space="preserve">for 2023/24 </w:t>
      </w:r>
      <w:r w:rsidR="00C1132B">
        <w:rPr>
          <w:rFonts w:cs="Arial"/>
          <w:szCs w:val="24"/>
        </w:rPr>
        <w:t xml:space="preserve">(over and above the £1.25m) </w:t>
      </w:r>
      <w:r w:rsidR="00625575" w:rsidRPr="00625575">
        <w:rPr>
          <w:rFonts w:cs="Arial"/>
          <w:szCs w:val="24"/>
        </w:rPr>
        <w:t xml:space="preserve">as part of next year’s 2021/22 budget process. </w:t>
      </w:r>
    </w:p>
    <w:p w:rsidR="00625575" w:rsidRPr="00625575" w:rsidRDefault="00625575" w:rsidP="00C1132B">
      <w:pPr>
        <w:ind w:left="360"/>
        <w:jc w:val="both"/>
        <w:rPr>
          <w:rFonts w:cs="Arial"/>
          <w:szCs w:val="24"/>
        </w:rPr>
      </w:pPr>
    </w:p>
    <w:p w:rsidR="00EB0149" w:rsidRPr="00EA216C" w:rsidRDefault="00EB0149" w:rsidP="00EB0149">
      <w:pPr>
        <w:spacing w:after="120"/>
        <w:ind w:firstLine="360"/>
        <w:jc w:val="both"/>
        <w:rPr>
          <w:rFonts w:cs="Arial"/>
          <w:b/>
          <w:bCs/>
          <w:szCs w:val="24"/>
        </w:rPr>
      </w:pPr>
      <w:r w:rsidRPr="00EA216C">
        <w:rPr>
          <w:rFonts w:cs="Arial"/>
          <w:b/>
          <w:bCs/>
          <w:szCs w:val="24"/>
        </w:rPr>
        <w:t>Table 3</w:t>
      </w:r>
      <w:r w:rsidR="00914951">
        <w:rPr>
          <w:rFonts w:cs="Arial"/>
          <w:b/>
          <w:bCs/>
          <w:szCs w:val="24"/>
        </w:rPr>
        <w:t xml:space="preserve"> - </w:t>
      </w:r>
      <w:r w:rsidRPr="00EA216C">
        <w:rPr>
          <w:rFonts w:cs="Arial"/>
          <w:b/>
          <w:bCs/>
          <w:szCs w:val="24"/>
        </w:rPr>
        <w:t>Capital Financing Implications of New Additions</w:t>
      </w:r>
    </w:p>
    <w:tbl>
      <w:tblPr>
        <w:tblW w:w="6237" w:type="dxa"/>
        <w:tblInd w:w="534" w:type="dxa"/>
        <w:tblLayout w:type="fixed"/>
        <w:tblLook w:val="04A0" w:firstRow="1" w:lastRow="0" w:firstColumn="1" w:lastColumn="0" w:noHBand="0" w:noVBand="1"/>
      </w:tblPr>
      <w:tblGrid>
        <w:gridCol w:w="4110"/>
        <w:gridCol w:w="2127"/>
      </w:tblGrid>
      <w:tr w:rsidR="00EB0149" w:rsidRPr="006716D2" w:rsidTr="00A26B10">
        <w:trPr>
          <w:trHeight w:val="645"/>
        </w:trPr>
        <w:tc>
          <w:tcPr>
            <w:tcW w:w="411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EB0149" w:rsidRPr="006716D2" w:rsidRDefault="00EB0149" w:rsidP="003005D7">
            <w:pPr>
              <w:rPr>
                <w:rFonts w:cs="Arial"/>
                <w:b/>
                <w:bCs/>
                <w:sz w:val="22"/>
                <w:szCs w:val="22"/>
                <w:lang w:eastAsia="en-GB"/>
              </w:rPr>
            </w:pPr>
            <w:r w:rsidRPr="006716D2">
              <w:rPr>
                <w:rFonts w:cs="Arial"/>
                <w:b/>
                <w:bCs/>
                <w:sz w:val="22"/>
                <w:szCs w:val="22"/>
                <w:lang w:eastAsia="en-GB"/>
              </w:rPr>
              <w:t>Capital Financing Costs</w:t>
            </w:r>
          </w:p>
        </w:tc>
        <w:tc>
          <w:tcPr>
            <w:tcW w:w="2127" w:type="dxa"/>
            <w:tcBorders>
              <w:top w:val="single" w:sz="8" w:space="0" w:color="auto"/>
              <w:left w:val="nil"/>
              <w:bottom w:val="nil"/>
              <w:right w:val="single" w:sz="8" w:space="0" w:color="auto"/>
            </w:tcBorders>
            <w:shd w:val="clear" w:color="auto" w:fill="D9D9D9" w:themeFill="background1" w:themeFillShade="D9"/>
            <w:vAlign w:val="center"/>
            <w:hideMark/>
          </w:tcPr>
          <w:p w:rsidR="00EB0149" w:rsidRPr="006716D2" w:rsidRDefault="00EB0149" w:rsidP="003005D7">
            <w:pPr>
              <w:jc w:val="right"/>
              <w:rPr>
                <w:rFonts w:cs="Arial"/>
                <w:b/>
                <w:bCs/>
                <w:sz w:val="22"/>
                <w:szCs w:val="22"/>
                <w:lang w:eastAsia="en-GB"/>
              </w:rPr>
            </w:pPr>
            <w:r w:rsidRPr="006716D2">
              <w:rPr>
                <w:rFonts w:cs="Arial"/>
                <w:b/>
                <w:bCs/>
                <w:sz w:val="22"/>
                <w:szCs w:val="22"/>
                <w:lang w:eastAsia="en-GB"/>
              </w:rPr>
              <w:t>Annual costs</w:t>
            </w:r>
          </w:p>
        </w:tc>
      </w:tr>
      <w:tr w:rsidR="00EB0149" w:rsidRPr="006716D2" w:rsidTr="003005D7">
        <w:trPr>
          <w:trHeight w:val="279"/>
        </w:trPr>
        <w:tc>
          <w:tcPr>
            <w:tcW w:w="4110" w:type="dxa"/>
            <w:tcBorders>
              <w:top w:val="single" w:sz="8" w:space="0" w:color="auto"/>
              <w:left w:val="single" w:sz="8" w:space="0" w:color="auto"/>
              <w:bottom w:val="nil"/>
              <w:right w:val="single" w:sz="8" w:space="0" w:color="auto"/>
            </w:tcBorders>
            <w:shd w:val="clear" w:color="auto" w:fill="auto"/>
            <w:vAlign w:val="center"/>
            <w:hideMark/>
          </w:tcPr>
          <w:p w:rsidR="00EB0149" w:rsidRPr="006716D2" w:rsidRDefault="00EB0149" w:rsidP="00A26B10">
            <w:pPr>
              <w:spacing w:after="120"/>
              <w:ind w:firstLine="360"/>
              <w:jc w:val="both"/>
              <w:rPr>
                <w:rFonts w:cs="Arial"/>
                <w:b/>
                <w:bCs/>
                <w:sz w:val="22"/>
                <w:szCs w:val="22"/>
                <w:lang w:eastAsia="en-GB"/>
              </w:rPr>
            </w:pPr>
            <w:r w:rsidRPr="006716D2">
              <w:rPr>
                <w:rFonts w:cs="Arial"/>
                <w:b/>
                <w:bCs/>
                <w:sz w:val="22"/>
                <w:szCs w:val="22"/>
                <w:lang w:eastAsia="en-GB"/>
              </w:rPr>
              <w:t> </w:t>
            </w:r>
          </w:p>
        </w:tc>
        <w:tc>
          <w:tcPr>
            <w:tcW w:w="2127" w:type="dxa"/>
            <w:tcBorders>
              <w:top w:val="single" w:sz="8" w:space="0" w:color="auto"/>
              <w:left w:val="nil"/>
              <w:bottom w:val="nil"/>
              <w:right w:val="single" w:sz="8" w:space="0" w:color="auto"/>
            </w:tcBorders>
            <w:shd w:val="clear" w:color="auto" w:fill="auto"/>
            <w:vAlign w:val="center"/>
            <w:hideMark/>
          </w:tcPr>
          <w:p w:rsidR="00EB0149" w:rsidRPr="006716D2" w:rsidRDefault="00EB0149" w:rsidP="003005D7">
            <w:pPr>
              <w:jc w:val="right"/>
              <w:rPr>
                <w:rFonts w:cs="Arial"/>
                <w:b/>
                <w:bCs/>
                <w:sz w:val="22"/>
                <w:szCs w:val="22"/>
                <w:lang w:eastAsia="en-GB"/>
              </w:rPr>
            </w:pPr>
            <w:r w:rsidRPr="006716D2">
              <w:rPr>
                <w:rFonts w:cs="Arial"/>
                <w:b/>
                <w:bCs/>
                <w:sz w:val="22"/>
                <w:szCs w:val="22"/>
                <w:lang w:eastAsia="en-GB"/>
              </w:rPr>
              <w:t>£000</w:t>
            </w:r>
          </w:p>
        </w:tc>
      </w:tr>
      <w:tr w:rsidR="00EB0149" w:rsidRPr="006716D2"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0149" w:rsidRPr="00A26B10" w:rsidRDefault="00EB0149" w:rsidP="003005D7">
            <w:pPr>
              <w:ind w:hanging="108"/>
              <w:rPr>
                <w:rFonts w:cs="Arial"/>
                <w:bCs/>
                <w:sz w:val="22"/>
                <w:szCs w:val="22"/>
                <w:lang w:eastAsia="en-GB"/>
              </w:rPr>
            </w:pPr>
            <w:r w:rsidRPr="00A26B10">
              <w:rPr>
                <w:rFonts w:cs="Arial"/>
                <w:bCs/>
                <w:sz w:val="22"/>
                <w:szCs w:val="22"/>
                <w:lang w:eastAsia="en-GB"/>
              </w:rPr>
              <w:t xml:space="preserve"> </w:t>
            </w:r>
            <w:r w:rsidR="006716D2">
              <w:rPr>
                <w:rFonts w:cs="Arial"/>
                <w:bCs/>
                <w:sz w:val="22"/>
                <w:szCs w:val="22"/>
                <w:lang w:eastAsia="en-GB"/>
              </w:rPr>
              <w:t xml:space="preserve"> </w:t>
            </w:r>
            <w:r w:rsidRPr="00A26B10">
              <w:rPr>
                <w:rFonts w:cs="Arial"/>
                <w:bCs/>
                <w:sz w:val="22"/>
                <w:szCs w:val="22"/>
                <w:lang w:eastAsia="en-GB"/>
              </w:rPr>
              <w:t>Minimum Revenue   Provision (MRP)</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EB0149" w:rsidRPr="00A26B10" w:rsidRDefault="00625575" w:rsidP="003005D7">
            <w:pPr>
              <w:jc w:val="right"/>
              <w:rPr>
                <w:rFonts w:cs="Arial"/>
                <w:bCs/>
                <w:sz w:val="22"/>
                <w:szCs w:val="22"/>
                <w:lang w:eastAsia="en-GB"/>
              </w:rPr>
            </w:pPr>
            <w:r>
              <w:rPr>
                <w:rFonts w:cs="Arial"/>
                <w:bCs/>
                <w:sz w:val="22"/>
                <w:szCs w:val="22"/>
                <w:lang w:eastAsia="en-GB"/>
              </w:rPr>
              <w:t>574</w:t>
            </w:r>
          </w:p>
        </w:tc>
      </w:tr>
      <w:tr w:rsidR="00EB0149" w:rsidRPr="006716D2"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0149" w:rsidRPr="00A26B10" w:rsidRDefault="00EB0149" w:rsidP="003005D7">
            <w:pPr>
              <w:rPr>
                <w:rFonts w:cs="Arial"/>
                <w:bCs/>
                <w:sz w:val="22"/>
                <w:szCs w:val="22"/>
                <w:lang w:eastAsia="en-GB"/>
              </w:rPr>
            </w:pPr>
            <w:r w:rsidRPr="00A26B10">
              <w:rPr>
                <w:rFonts w:cs="Arial"/>
                <w:bCs/>
                <w:sz w:val="22"/>
                <w:szCs w:val="22"/>
                <w:lang w:eastAsia="en-GB"/>
              </w:rPr>
              <w:t>Interest</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EB0149" w:rsidRPr="00A26B10" w:rsidRDefault="00625575" w:rsidP="003005D7">
            <w:pPr>
              <w:jc w:val="right"/>
              <w:rPr>
                <w:rFonts w:cs="Arial"/>
                <w:bCs/>
                <w:sz w:val="22"/>
                <w:szCs w:val="22"/>
                <w:lang w:eastAsia="en-GB"/>
              </w:rPr>
            </w:pPr>
            <w:r>
              <w:rPr>
                <w:rFonts w:cs="Arial"/>
                <w:bCs/>
                <w:sz w:val="22"/>
                <w:szCs w:val="22"/>
                <w:lang w:eastAsia="en-GB"/>
              </w:rPr>
              <w:t>510</w:t>
            </w:r>
          </w:p>
        </w:tc>
      </w:tr>
      <w:tr w:rsidR="00EB0149" w:rsidRPr="006716D2" w:rsidTr="00A26B10">
        <w:trPr>
          <w:trHeight w:val="335"/>
        </w:trPr>
        <w:tc>
          <w:tcPr>
            <w:tcW w:w="411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B0149" w:rsidRPr="00A26B10" w:rsidRDefault="00EB0149" w:rsidP="003005D7">
            <w:pPr>
              <w:rPr>
                <w:rFonts w:cs="Arial"/>
                <w:bCs/>
                <w:sz w:val="22"/>
                <w:szCs w:val="22"/>
                <w:lang w:eastAsia="en-GB"/>
              </w:rPr>
            </w:pPr>
            <w:r w:rsidRPr="00A26B10">
              <w:rPr>
                <w:rFonts w:cs="Arial"/>
                <w:bCs/>
                <w:sz w:val="22"/>
                <w:szCs w:val="22"/>
                <w:lang w:eastAsia="en-GB"/>
              </w:rPr>
              <w:t>Total Capital Financing Costs</w:t>
            </w:r>
          </w:p>
        </w:tc>
        <w:tc>
          <w:tcPr>
            <w:tcW w:w="2127" w:type="dxa"/>
            <w:tcBorders>
              <w:top w:val="single" w:sz="8" w:space="0" w:color="auto"/>
              <w:left w:val="nil"/>
              <w:bottom w:val="single" w:sz="4" w:space="0" w:color="auto"/>
              <w:right w:val="single" w:sz="8" w:space="0" w:color="auto"/>
            </w:tcBorders>
            <w:shd w:val="clear" w:color="auto" w:fill="auto"/>
            <w:vAlign w:val="center"/>
            <w:hideMark/>
          </w:tcPr>
          <w:p w:rsidR="00EB0149" w:rsidRPr="00A26B10" w:rsidRDefault="00625575" w:rsidP="00625575">
            <w:pPr>
              <w:jc w:val="right"/>
              <w:rPr>
                <w:rFonts w:cs="Arial"/>
                <w:bCs/>
                <w:sz w:val="22"/>
                <w:szCs w:val="22"/>
                <w:lang w:eastAsia="en-GB"/>
              </w:rPr>
            </w:pPr>
            <w:r>
              <w:rPr>
                <w:rFonts w:cs="Arial"/>
                <w:bCs/>
                <w:sz w:val="22"/>
                <w:szCs w:val="22"/>
                <w:lang w:eastAsia="en-GB"/>
              </w:rPr>
              <w:t>1</w:t>
            </w:r>
            <w:r w:rsidR="00EB0149" w:rsidRPr="00A26B10">
              <w:rPr>
                <w:rFonts w:cs="Arial"/>
                <w:bCs/>
                <w:sz w:val="22"/>
                <w:szCs w:val="22"/>
                <w:lang w:eastAsia="en-GB"/>
              </w:rPr>
              <w:t>,</w:t>
            </w:r>
            <w:r>
              <w:rPr>
                <w:rFonts w:cs="Arial"/>
                <w:bCs/>
                <w:sz w:val="22"/>
                <w:szCs w:val="22"/>
                <w:lang w:eastAsia="en-GB"/>
              </w:rPr>
              <w:t>084</w:t>
            </w:r>
          </w:p>
        </w:tc>
      </w:tr>
    </w:tbl>
    <w:p w:rsidR="00EB0149" w:rsidRDefault="00EB0149" w:rsidP="00A26B10">
      <w:pPr>
        <w:tabs>
          <w:tab w:val="num" w:pos="1985"/>
        </w:tabs>
        <w:ind w:left="360"/>
        <w:jc w:val="both"/>
        <w:rPr>
          <w:rFonts w:cs="Arial"/>
          <w:szCs w:val="24"/>
        </w:rPr>
      </w:pPr>
    </w:p>
    <w:p w:rsidR="006B5039" w:rsidRDefault="006B5039" w:rsidP="00A26B10">
      <w:pPr>
        <w:tabs>
          <w:tab w:val="num" w:pos="1985"/>
        </w:tabs>
        <w:ind w:left="360"/>
        <w:jc w:val="both"/>
        <w:rPr>
          <w:rFonts w:cs="Arial"/>
          <w:szCs w:val="24"/>
        </w:rPr>
      </w:pPr>
    </w:p>
    <w:p w:rsidR="0058224A" w:rsidRPr="0007751F" w:rsidRDefault="0058224A" w:rsidP="000E638E">
      <w:pPr>
        <w:tabs>
          <w:tab w:val="num" w:pos="1985"/>
        </w:tabs>
        <w:ind w:left="567" w:hanging="141"/>
        <w:jc w:val="both"/>
        <w:rPr>
          <w:rFonts w:cs="Arial"/>
          <w:b/>
          <w:szCs w:val="24"/>
        </w:rPr>
      </w:pPr>
      <w:r w:rsidRPr="0007751F">
        <w:rPr>
          <w:rFonts w:cs="Arial"/>
          <w:b/>
          <w:szCs w:val="24"/>
        </w:rPr>
        <w:lastRenderedPageBreak/>
        <w:t>Community Infrastructure Levy (CIL) Funding</w:t>
      </w:r>
      <w:r w:rsidR="00EB61E1">
        <w:rPr>
          <w:rFonts w:cs="Arial"/>
          <w:b/>
          <w:szCs w:val="24"/>
        </w:rPr>
        <w:t xml:space="preserve"> </w:t>
      </w:r>
    </w:p>
    <w:p w:rsidR="00B16D25" w:rsidRPr="00EA216C" w:rsidRDefault="00B16D25">
      <w:pPr>
        <w:pStyle w:val="ListParagraph"/>
        <w:numPr>
          <w:ilvl w:val="0"/>
          <w:numId w:val="27"/>
        </w:numPr>
        <w:jc w:val="both"/>
        <w:rPr>
          <w:rFonts w:cs="Arial"/>
          <w:szCs w:val="24"/>
        </w:rPr>
      </w:pPr>
      <w:r w:rsidRPr="00CE2756">
        <w:rPr>
          <w:rFonts w:cs="Arial"/>
          <w:szCs w:val="24"/>
        </w:rPr>
        <w:t xml:space="preserve">The Community Infrastructure Levy (CIL) enables the council to raise funds for infrastructure from new development. It is levied on the net increase in </w:t>
      </w:r>
      <w:r w:rsidR="00557940" w:rsidRPr="00CE2756">
        <w:rPr>
          <w:rFonts w:cs="Arial"/>
          <w:szCs w:val="24"/>
        </w:rPr>
        <w:t>floor space</w:t>
      </w:r>
      <w:r w:rsidRPr="00CE2756">
        <w:rPr>
          <w:rFonts w:cs="Arial"/>
          <w:szCs w:val="24"/>
        </w:rPr>
        <w:t xml:space="preserve"> arising from new development</w:t>
      </w:r>
      <w:r w:rsidR="00557940" w:rsidRPr="00CE2756">
        <w:rPr>
          <w:rFonts w:cs="Arial"/>
          <w:szCs w:val="24"/>
        </w:rPr>
        <w:t>s</w:t>
      </w:r>
      <w:r w:rsidRPr="00CE2756">
        <w:rPr>
          <w:rFonts w:cs="Arial"/>
          <w:szCs w:val="24"/>
        </w:rPr>
        <w:t xml:space="preserve"> and is paid when that development starts.</w:t>
      </w:r>
      <w:r w:rsidR="00C05994" w:rsidRPr="00A53B9F">
        <w:rPr>
          <w:rFonts w:cs="Arial"/>
          <w:szCs w:val="24"/>
        </w:rPr>
        <w:t xml:space="preserve"> The Community Infrastructure Levy (CIL) is a tool for local authorities to support the development of their area by funding the provision, improvement, replacement, operation or maintenance of infrastructure. However the focus of CIL is on the delivery of new infrastructure t</w:t>
      </w:r>
      <w:r w:rsidR="00C05994" w:rsidRPr="00EA216C">
        <w:rPr>
          <w:rFonts w:cs="Arial"/>
          <w:szCs w:val="24"/>
        </w:rPr>
        <w:t>o meet and mitigate the impacts of new development in an area</w:t>
      </w:r>
      <w:r w:rsidR="008611E5" w:rsidRPr="00EA216C">
        <w:rPr>
          <w:rFonts w:cs="Arial"/>
          <w:szCs w:val="24"/>
        </w:rPr>
        <w:t>.</w:t>
      </w:r>
    </w:p>
    <w:p w:rsidR="002640D2" w:rsidRDefault="002640D2" w:rsidP="00A26B10">
      <w:pPr>
        <w:pStyle w:val="ListParagraph"/>
        <w:ind w:left="360"/>
        <w:jc w:val="both"/>
        <w:rPr>
          <w:rFonts w:cs="Arial"/>
          <w:szCs w:val="24"/>
        </w:rPr>
      </w:pPr>
    </w:p>
    <w:p w:rsidR="00C05994" w:rsidRPr="001D2DF5" w:rsidRDefault="00C05994" w:rsidP="000E638E">
      <w:pPr>
        <w:pStyle w:val="ListParagraph"/>
        <w:keepNext/>
        <w:numPr>
          <w:ilvl w:val="0"/>
          <w:numId w:val="27"/>
        </w:numPr>
        <w:tabs>
          <w:tab w:val="clear" w:pos="360"/>
          <w:tab w:val="num" w:pos="426"/>
        </w:tabs>
        <w:jc w:val="both"/>
      </w:pPr>
      <w:r>
        <w:t xml:space="preserve"> </w:t>
      </w:r>
      <w:r w:rsidRPr="001D2DF5">
        <w:t>CIL receipts can be used to fund a wide ra</w:t>
      </w:r>
      <w:r>
        <w:t xml:space="preserve">nge of infrastructure </w:t>
      </w:r>
      <w:r w:rsidR="005A7232">
        <w:t>including transport</w:t>
      </w:r>
      <w:r w:rsidRPr="001D2DF5">
        <w:t>, schools, health and social care facilities, libraries, play areas, green spaces and sports facilities.</w:t>
      </w:r>
      <w:r w:rsidRPr="00C05994">
        <w:t xml:space="preserve"> </w:t>
      </w:r>
      <w:r w:rsidRPr="001D2DF5">
        <w:t>Harrow’s list of strategic infrastructure requirements known as a Regulation 123</w:t>
      </w:r>
      <w:r w:rsidR="00625575">
        <w:t>.</w:t>
      </w:r>
      <w:r w:rsidRPr="001D2DF5">
        <w:t xml:space="preserve"> </w:t>
      </w:r>
    </w:p>
    <w:p w:rsidR="00C05994" w:rsidRDefault="00C05994" w:rsidP="000E638E">
      <w:pPr>
        <w:pStyle w:val="ListParagraph"/>
        <w:ind w:left="360"/>
        <w:jc w:val="both"/>
      </w:pPr>
    </w:p>
    <w:p w:rsidR="00E84F43" w:rsidRPr="000E638E" w:rsidRDefault="005A7ABA">
      <w:pPr>
        <w:pStyle w:val="ListParagraph"/>
        <w:numPr>
          <w:ilvl w:val="0"/>
          <w:numId w:val="27"/>
        </w:numPr>
        <w:jc w:val="both"/>
        <w:rPr>
          <w:lang w:val="en"/>
        </w:rPr>
      </w:pPr>
      <w:r>
        <w:t xml:space="preserve"> </w:t>
      </w:r>
      <w:r w:rsidRPr="005A7ABA">
        <w:rPr>
          <w:lang w:val="en"/>
        </w:rPr>
        <w:t xml:space="preserve">Of all CIL monies collected, 85% is used to fund strategic </w:t>
      </w:r>
      <w:r>
        <w:rPr>
          <w:lang w:val="en"/>
        </w:rPr>
        <w:t xml:space="preserve">borough </w:t>
      </w:r>
      <w:r w:rsidR="00953CF4">
        <w:rPr>
          <w:lang w:val="en"/>
        </w:rPr>
        <w:t>wide infrastructure</w:t>
      </w:r>
      <w:r w:rsidR="0023468E">
        <w:rPr>
          <w:lang w:val="en"/>
        </w:rPr>
        <w:t xml:space="preserve"> projects, which includes a 5% allowance to cover the </w:t>
      </w:r>
      <w:r w:rsidRPr="005A7ABA">
        <w:rPr>
          <w:lang w:val="en"/>
        </w:rPr>
        <w:t>administrati</w:t>
      </w:r>
      <w:r w:rsidR="0023468E">
        <w:rPr>
          <w:lang w:val="en"/>
        </w:rPr>
        <w:t>ve costs of CIL</w:t>
      </w:r>
      <w:r w:rsidRPr="005A7ABA">
        <w:rPr>
          <w:lang w:val="en"/>
        </w:rPr>
        <w:t xml:space="preserve">. The decisions on where to spend CIL </w:t>
      </w:r>
      <w:r w:rsidR="00E84F43">
        <w:t>at a borough-wide level</w:t>
      </w:r>
      <w:r w:rsidR="00C05994">
        <w:t xml:space="preserve"> </w:t>
      </w:r>
      <w:r w:rsidR="00C05994" w:rsidRPr="001D2DF5">
        <w:t xml:space="preserve">is determined by the Council. </w:t>
      </w:r>
      <w:r w:rsidR="0023468E">
        <w:t xml:space="preserve">The remaining 15% is allocated to </w:t>
      </w:r>
      <w:r w:rsidR="00C05994" w:rsidRPr="001D2DF5">
        <w:t xml:space="preserve">Neighbourhood CIL (NCIL) </w:t>
      </w:r>
      <w:r w:rsidR="0023468E">
        <w:t xml:space="preserve">and </w:t>
      </w:r>
      <w:r w:rsidR="00C05994" w:rsidRPr="001D2DF5">
        <w:t>must be spent on projects that have taken account of the views of the communities in which the income was generated</w:t>
      </w:r>
      <w:r w:rsidR="00C05994">
        <w:t xml:space="preserve"> and these projects should support the development of the area</w:t>
      </w:r>
      <w:r w:rsidR="00C05994" w:rsidRPr="001D2DF5">
        <w:t>.</w:t>
      </w:r>
      <w:r w:rsidR="00E84F43">
        <w:t xml:space="preserve"> </w:t>
      </w:r>
    </w:p>
    <w:p w:rsidR="005A7ABA" w:rsidRPr="000E638E" w:rsidRDefault="005A7ABA" w:rsidP="000E638E">
      <w:pPr>
        <w:pStyle w:val="ListParagraph"/>
        <w:ind w:left="360"/>
        <w:jc w:val="both"/>
        <w:rPr>
          <w:lang w:val="en"/>
        </w:rPr>
      </w:pPr>
    </w:p>
    <w:p w:rsidR="00C05994" w:rsidRDefault="00962A6F" w:rsidP="00625575">
      <w:pPr>
        <w:pStyle w:val="ListParagraph"/>
        <w:numPr>
          <w:ilvl w:val="0"/>
          <w:numId w:val="27"/>
        </w:numPr>
        <w:tabs>
          <w:tab w:val="clear" w:pos="360"/>
        </w:tabs>
        <w:ind w:left="426" w:hanging="426"/>
        <w:jc w:val="both"/>
      </w:pPr>
      <w:r>
        <w:t xml:space="preserve"> </w:t>
      </w:r>
      <w:r w:rsidR="00625575">
        <w:t xml:space="preserve">In 2017, the principle was adopted by the </w:t>
      </w:r>
      <w:r w:rsidR="005A7ABA">
        <w:t>Major Development Panel</w:t>
      </w:r>
      <w:r w:rsidR="00576CCD">
        <w:t xml:space="preserve"> </w:t>
      </w:r>
      <w:r w:rsidR="00625575">
        <w:t>(</w:t>
      </w:r>
      <w:r w:rsidR="005A7ABA">
        <w:t>14</w:t>
      </w:r>
      <w:r w:rsidR="005A7ABA" w:rsidRPr="000E638E">
        <w:rPr>
          <w:vertAlign w:val="superscript"/>
        </w:rPr>
        <w:t>th</w:t>
      </w:r>
      <w:r w:rsidR="005A7ABA">
        <w:t xml:space="preserve"> </w:t>
      </w:r>
      <w:r>
        <w:t xml:space="preserve"> </w:t>
      </w:r>
      <w:r w:rsidR="005A7ABA">
        <w:t>November 2017</w:t>
      </w:r>
      <w:r w:rsidR="00625575">
        <w:t xml:space="preserve">) and recommended to Cabinet that </w:t>
      </w:r>
      <w:r w:rsidR="006F5268">
        <w:t xml:space="preserve">the allocation of Borough </w:t>
      </w:r>
      <w:r w:rsidR="008611E5">
        <w:t xml:space="preserve">and Neighbourhood </w:t>
      </w:r>
      <w:r w:rsidR="006F5268">
        <w:t xml:space="preserve">CIL is included as part of the Annual Budget Setting process and included in the Capital Programme report which goes to Cabinet in draft (this report) and in February in its final version.  </w:t>
      </w:r>
    </w:p>
    <w:p w:rsidR="00625575" w:rsidRPr="001D2DF5" w:rsidRDefault="00625575" w:rsidP="00625575">
      <w:pPr>
        <w:pStyle w:val="ListParagraph"/>
        <w:ind w:left="426"/>
        <w:jc w:val="both"/>
      </w:pPr>
    </w:p>
    <w:p w:rsidR="00977A30" w:rsidRPr="00FE40AF" w:rsidRDefault="00977A30" w:rsidP="00625575">
      <w:pPr>
        <w:numPr>
          <w:ilvl w:val="0"/>
          <w:numId w:val="27"/>
        </w:numPr>
        <w:tabs>
          <w:tab w:val="clear" w:pos="360"/>
          <w:tab w:val="num" w:pos="426"/>
          <w:tab w:val="num" w:pos="1985"/>
        </w:tabs>
        <w:ind w:left="426" w:hanging="426"/>
        <w:jc w:val="both"/>
        <w:rPr>
          <w:rFonts w:cs="Arial"/>
          <w:szCs w:val="24"/>
        </w:rPr>
      </w:pPr>
      <w:r>
        <w:t xml:space="preserve">The Borough CIL element will be used to fund the core Capital programme and </w:t>
      </w:r>
      <w:r w:rsidR="003F3E80">
        <w:t>can</w:t>
      </w:r>
      <w:r>
        <w:t xml:space="preserve"> be considered as a funding source for new capital bids </w:t>
      </w:r>
      <w:r w:rsidR="003F3E80">
        <w:t>as well as existing projects in the Capital programme.</w:t>
      </w:r>
    </w:p>
    <w:p w:rsidR="003005D7" w:rsidRPr="007F1122" w:rsidRDefault="003005D7" w:rsidP="00A26B10">
      <w:pPr>
        <w:tabs>
          <w:tab w:val="num" w:pos="1985"/>
        </w:tabs>
        <w:ind w:left="567"/>
        <w:jc w:val="both"/>
        <w:rPr>
          <w:rFonts w:cs="Arial"/>
          <w:szCs w:val="24"/>
        </w:rPr>
      </w:pPr>
    </w:p>
    <w:p w:rsidR="0058224A" w:rsidRPr="00FA541D" w:rsidRDefault="00081B71" w:rsidP="000E638E">
      <w:pPr>
        <w:numPr>
          <w:ilvl w:val="0"/>
          <w:numId w:val="27"/>
        </w:numPr>
        <w:tabs>
          <w:tab w:val="clear" w:pos="360"/>
          <w:tab w:val="num" w:pos="426"/>
          <w:tab w:val="num" w:pos="1985"/>
        </w:tabs>
        <w:ind w:left="567" w:hanging="567"/>
        <w:jc w:val="both"/>
        <w:rPr>
          <w:rFonts w:cs="Arial"/>
          <w:szCs w:val="24"/>
        </w:rPr>
      </w:pPr>
      <w:r>
        <w:t xml:space="preserve"> </w:t>
      </w:r>
      <w:r w:rsidR="003F3E80">
        <w:t>In terms of t</w:t>
      </w:r>
      <w:r w:rsidR="006F5268" w:rsidRPr="00285003">
        <w:t>he Neighbourhood element of CIL</w:t>
      </w:r>
      <w:r w:rsidR="00FA541D">
        <w:t xml:space="preserve"> s</w:t>
      </w:r>
      <w:r w:rsidR="00576CCD">
        <w:t>pecific projects to be funded by N</w:t>
      </w:r>
      <w:r w:rsidR="00FA2BD2">
        <w:t xml:space="preserve">eighbourhood </w:t>
      </w:r>
      <w:r w:rsidR="00576CCD">
        <w:t xml:space="preserve">CIL </w:t>
      </w:r>
      <w:r w:rsidR="00EB61E1">
        <w:t>can be</w:t>
      </w:r>
      <w:r w:rsidR="00576CCD">
        <w:t xml:space="preserve"> put forward by the relevant Directorates / Ward members and assessed against the criteria outlined in the CIL Allocations report</w:t>
      </w:r>
      <w:r w:rsidR="003F3E80">
        <w:t xml:space="preserve"> agreed by the Major Development Panel in November 2017</w:t>
      </w:r>
      <w:r w:rsidR="00576CCD">
        <w:t>. The</w:t>
      </w:r>
      <w:r w:rsidR="006F5268" w:rsidRPr="00285003">
        <w:t xml:space="preserve"> final decision on what projects are funded from the agreed </w:t>
      </w:r>
      <w:r w:rsidR="00576CCD">
        <w:t>N</w:t>
      </w:r>
      <w:r w:rsidR="006F5268" w:rsidRPr="00285003">
        <w:t xml:space="preserve">CIL allocations </w:t>
      </w:r>
      <w:r w:rsidR="00576CCD">
        <w:t>will be</w:t>
      </w:r>
      <w:r w:rsidR="006F5268" w:rsidRPr="00285003">
        <w:t xml:space="preserve"> delegated to the Divisional Director – Regeneration and Planning, in consultation with the Portfolio Holders for Regeneration and Planning, and Finance and Commercialisation.</w:t>
      </w:r>
    </w:p>
    <w:p w:rsidR="005F297C" w:rsidRPr="00576CCD" w:rsidRDefault="005F297C" w:rsidP="000E638E">
      <w:pPr>
        <w:tabs>
          <w:tab w:val="num" w:pos="1985"/>
        </w:tabs>
        <w:ind w:left="567"/>
        <w:jc w:val="both"/>
        <w:rPr>
          <w:rFonts w:cs="Arial"/>
          <w:szCs w:val="24"/>
        </w:rPr>
      </w:pPr>
    </w:p>
    <w:p w:rsidR="0008529A" w:rsidRDefault="005F297C" w:rsidP="0008529A">
      <w:pPr>
        <w:numPr>
          <w:ilvl w:val="0"/>
          <w:numId w:val="27"/>
        </w:numPr>
        <w:tabs>
          <w:tab w:val="clear" w:pos="360"/>
          <w:tab w:val="num" w:pos="426"/>
          <w:tab w:val="num" w:pos="1985"/>
        </w:tabs>
        <w:ind w:left="567" w:hanging="567"/>
        <w:jc w:val="both"/>
        <w:rPr>
          <w:rFonts w:cs="Arial"/>
          <w:szCs w:val="24"/>
        </w:rPr>
      </w:pPr>
      <w:r w:rsidRPr="0008529A">
        <w:rPr>
          <w:rFonts w:cs="Arial"/>
          <w:szCs w:val="24"/>
        </w:rPr>
        <w:t xml:space="preserve"> </w:t>
      </w:r>
      <w:r w:rsidR="0008529A" w:rsidRPr="0008529A">
        <w:rPr>
          <w:rFonts w:cs="Arial"/>
          <w:szCs w:val="24"/>
        </w:rPr>
        <w:t xml:space="preserve">Table 4 </w:t>
      </w:r>
      <w:r w:rsidR="00046DFF" w:rsidRPr="0008529A">
        <w:rPr>
          <w:rFonts w:cs="Arial"/>
          <w:szCs w:val="24"/>
        </w:rPr>
        <w:t xml:space="preserve">sets out the CIL funding received to </w:t>
      </w:r>
      <w:r w:rsidR="0008529A" w:rsidRPr="0008529A">
        <w:rPr>
          <w:rFonts w:cs="Arial"/>
          <w:szCs w:val="24"/>
        </w:rPr>
        <w:t>30</w:t>
      </w:r>
      <w:r w:rsidR="0008529A" w:rsidRPr="0008529A">
        <w:rPr>
          <w:rFonts w:cs="Arial"/>
          <w:szCs w:val="24"/>
          <w:vertAlign w:val="superscript"/>
        </w:rPr>
        <w:t>th</w:t>
      </w:r>
      <w:r w:rsidR="0008529A" w:rsidRPr="0008529A">
        <w:rPr>
          <w:rFonts w:cs="Arial"/>
          <w:szCs w:val="24"/>
        </w:rPr>
        <w:t xml:space="preserve"> September 2019 showing that £7.731m of BCIL has been received to date: </w:t>
      </w:r>
    </w:p>
    <w:p w:rsidR="0008529A" w:rsidRDefault="0008529A" w:rsidP="0008529A">
      <w:pPr>
        <w:pStyle w:val="ListParagraph"/>
        <w:rPr>
          <w:rFonts w:cs="Arial"/>
          <w:szCs w:val="24"/>
        </w:rPr>
      </w:pPr>
    </w:p>
    <w:p w:rsidR="006B5039" w:rsidRDefault="006B5039" w:rsidP="0008529A">
      <w:pPr>
        <w:pStyle w:val="ListParagraph"/>
        <w:rPr>
          <w:rFonts w:cs="Arial"/>
          <w:szCs w:val="24"/>
        </w:rPr>
      </w:pPr>
    </w:p>
    <w:p w:rsidR="006B5039" w:rsidRDefault="006B5039" w:rsidP="0008529A">
      <w:pPr>
        <w:pStyle w:val="ListParagraph"/>
        <w:rPr>
          <w:rFonts w:cs="Arial"/>
          <w:szCs w:val="24"/>
        </w:rPr>
      </w:pPr>
    </w:p>
    <w:p w:rsidR="006B5039" w:rsidRDefault="006B5039" w:rsidP="0008529A">
      <w:pPr>
        <w:pStyle w:val="ListParagraph"/>
        <w:rPr>
          <w:rFonts w:cs="Arial"/>
          <w:szCs w:val="24"/>
        </w:rPr>
      </w:pPr>
    </w:p>
    <w:p w:rsidR="006B5039" w:rsidRDefault="006B5039" w:rsidP="0008529A">
      <w:pPr>
        <w:pStyle w:val="ListParagraph"/>
        <w:rPr>
          <w:rFonts w:cs="Arial"/>
          <w:szCs w:val="24"/>
        </w:rPr>
      </w:pPr>
    </w:p>
    <w:p w:rsidR="006B5039" w:rsidRDefault="006B5039" w:rsidP="0008529A">
      <w:pPr>
        <w:pStyle w:val="ListParagraph"/>
        <w:rPr>
          <w:rFonts w:cs="Arial"/>
          <w:szCs w:val="24"/>
        </w:rPr>
      </w:pPr>
    </w:p>
    <w:p w:rsidR="006B5039" w:rsidRDefault="006B5039" w:rsidP="0008529A">
      <w:pPr>
        <w:pStyle w:val="ListParagraph"/>
        <w:rPr>
          <w:rFonts w:cs="Arial"/>
          <w:szCs w:val="24"/>
        </w:rPr>
      </w:pPr>
    </w:p>
    <w:p w:rsidR="0008529A" w:rsidRPr="00EA216C" w:rsidRDefault="0008529A" w:rsidP="0008529A">
      <w:pPr>
        <w:tabs>
          <w:tab w:val="num" w:pos="1985"/>
        </w:tabs>
        <w:ind w:left="567"/>
        <w:jc w:val="both"/>
        <w:rPr>
          <w:rFonts w:cs="Arial"/>
          <w:b/>
          <w:szCs w:val="24"/>
        </w:rPr>
      </w:pPr>
      <w:r w:rsidRPr="00EA216C">
        <w:rPr>
          <w:rFonts w:cs="Arial"/>
          <w:b/>
          <w:szCs w:val="24"/>
        </w:rPr>
        <w:lastRenderedPageBreak/>
        <w:t xml:space="preserve">Table </w:t>
      </w:r>
      <w:r>
        <w:rPr>
          <w:rFonts w:cs="Arial"/>
          <w:b/>
          <w:szCs w:val="24"/>
        </w:rPr>
        <w:t>4</w:t>
      </w:r>
      <w:r w:rsidRPr="00EA216C">
        <w:rPr>
          <w:rFonts w:cs="Arial"/>
          <w:b/>
          <w:szCs w:val="24"/>
        </w:rPr>
        <w:t xml:space="preserve"> – CIL Funding and Allocations to 30</w:t>
      </w:r>
      <w:r w:rsidRPr="00EA216C">
        <w:rPr>
          <w:rFonts w:cs="Arial"/>
          <w:b/>
          <w:szCs w:val="24"/>
          <w:vertAlign w:val="superscript"/>
        </w:rPr>
        <w:t>th</w:t>
      </w:r>
      <w:r w:rsidRPr="00EA216C">
        <w:rPr>
          <w:rFonts w:cs="Arial"/>
          <w:b/>
          <w:szCs w:val="24"/>
        </w:rPr>
        <w:t xml:space="preserve"> September </w:t>
      </w:r>
      <w:r>
        <w:rPr>
          <w:rFonts w:cs="Arial"/>
          <w:b/>
          <w:szCs w:val="24"/>
        </w:rPr>
        <w:t>2019</w:t>
      </w:r>
      <w:r w:rsidRPr="00EA216C">
        <w:rPr>
          <w:rFonts w:cs="Arial"/>
          <w:b/>
          <w:szCs w:val="24"/>
        </w:rPr>
        <w:t>.</w:t>
      </w:r>
    </w:p>
    <w:p w:rsidR="0008529A" w:rsidRDefault="0008529A" w:rsidP="0008529A">
      <w:pPr>
        <w:tabs>
          <w:tab w:val="num" w:pos="1985"/>
        </w:tabs>
        <w:ind w:left="567"/>
        <w:jc w:val="both"/>
        <w:rPr>
          <w:rFonts w:cs="Arial"/>
          <w:szCs w:val="24"/>
        </w:rPr>
      </w:pPr>
      <w:r w:rsidRPr="0008529A">
        <w:rPr>
          <w:noProof/>
          <w:lang w:eastAsia="en-GB"/>
        </w:rPr>
        <w:drawing>
          <wp:inline distT="0" distB="0" distL="0" distR="0" wp14:anchorId="37B5FAEF" wp14:editId="5B687A90">
            <wp:extent cx="5339080" cy="1031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9080" cy="1031995"/>
                    </a:xfrm>
                    <a:prstGeom prst="rect">
                      <a:avLst/>
                    </a:prstGeom>
                    <a:noFill/>
                    <a:ln>
                      <a:noFill/>
                    </a:ln>
                  </pic:spPr>
                </pic:pic>
              </a:graphicData>
            </a:graphic>
          </wp:inline>
        </w:drawing>
      </w:r>
    </w:p>
    <w:p w:rsidR="0008529A" w:rsidRDefault="0008529A" w:rsidP="00F40533">
      <w:pPr>
        <w:pStyle w:val="ListParagraph"/>
      </w:pPr>
    </w:p>
    <w:p w:rsidR="00914951" w:rsidRDefault="00DD2361" w:rsidP="00EA216C">
      <w:pPr>
        <w:numPr>
          <w:ilvl w:val="0"/>
          <w:numId w:val="27"/>
        </w:numPr>
        <w:tabs>
          <w:tab w:val="clear" w:pos="360"/>
          <w:tab w:val="num" w:pos="1985"/>
        </w:tabs>
        <w:ind w:left="567" w:hanging="567"/>
        <w:jc w:val="both"/>
        <w:rPr>
          <w:rFonts w:cs="Arial"/>
          <w:szCs w:val="24"/>
        </w:rPr>
      </w:pPr>
      <w:r w:rsidRPr="00914951">
        <w:rPr>
          <w:rFonts w:cs="Arial"/>
          <w:szCs w:val="24"/>
        </w:rPr>
        <w:t xml:space="preserve">The Allocation of </w:t>
      </w:r>
      <w:r w:rsidR="00D903B0">
        <w:rPr>
          <w:rFonts w:cs="Arial"/>
          <w:szCs w:val="24"/>
        </w:rPr>
        <w:t>B</w:t>
      </w:r>
      <w:r w:rsidRPr="00914951">
        <w:rPr>
          <w:rFonts w:cs="Arial"/>
          <w:szCs w:val="24"/>
        </w:rPr>
        <w:t xml:space="preserve">CIL funding to date amounts to </w:t>
      </w:r>
      <w:r w:rsidR="00FA2BD2" w:rsidRPr="00914951">
        <w:rPr>
          <w:rFonts w:cs="Arial"/>
          <w:szCs w:val="24"/>
        </w:rPr>
        <w:t>£</w:t>
      </w:r>
      <w:r w:rsidR="0008529A">
        <w:rPr>
          <w:rFonts w:cs="Arial"/>
          <w:szCs w:val="24"/>
        </w:rPr>
        <w:t>7.016m as set out in Table 5 below:</w:t>
      </w:r>
    </w:p>
    <w:p w:rsidR="0008529A" w:rsidRDefault="0008529A" w:rsidP="0008529A">
      <w:pPr>
        <w:ind w:left="567"/>
        <w:jc w:val="both"/>
        <w:rPr>
          <w:rFonts w:cs="Arial"/>
          <w:szCs w:val="24"/>
        </w:rPr>
      </w:pPr>
    </w:p>
    <w:p w:rsidR="0008529A" w:rsidRPr="0008529A" w:rsidRDefault="0008529A" w:rsidP="0008529A">
      <w:pPr>
        <w:pStyle w:val="ListParagraph"/>
        <w:ind w:left="360"/>
        <w:jc w:val="both"/>
        <w:rPr>
          <w:rFonts w:cs="Arial"/>
          <w:b/>
          <w:szCs w:val="24"/>
        </w:rPr>
      </w:pPr>
      <w:r>
        <w:rPr>
          <w:rFonts w:cs="Arial"/>
          <w:b/>
          <w:szCs w:val="24"/>
        </w:rPr>
        <w:t xml:space="preserve">   </w:t>
      </w:r>
      <w:r w:rsidRPr="0008529A">
        <w:rPr>
          <w:rFonts w:cs="Arial"/>
          <w:b/>
          <w:szCs w:val="24"/>
        </w:rPr>
        <w:t xml:space="preserve">Table </w:t>
      </w:r>
      <w:r>
        <w:rPr>
          <w:rFonts w:cs="Arial"/>
          <w:b/>
          <w:szCs w:val="24"/>
        </w:rPr>
        <w:t>5</w:t>
      </w:r>
      <w:r w:rsidRPr="0008529A">
        <w:rPr>
          <w:rFonts w:cs="Arial"/>
          <w:b/>
          <w:szCs w:val="24"/>
        </w:rPr>
        <w:t>: Schemes funded from CIL to date</w:t>
      </w:r>
    </w:p>
    <w:p w:rsidR="0008529A" w:rsidRPr="00AA656F" w:rsidRDefault="0008529A" w:rsidP="0008529A">
      <w:pPr>
        <w:ind w:left="567"/>
        <w:jc w:val="both"/>
        <w:rPr>
          <w:rFonts w:cs="Arial"/>
          <w:szCs w:val="24"/>
        </w:rPr>
      </w:pPr>
      <w:r w:rsidRPr="0008529A">
        <w:rPr>
          <w:noProof/>
          <w:lang w:eastAsia="en-GB"/>
        </w:rPr>
        <w:drawing>
          <wp:inline distT="0" distB="0" distL="0" distR="0" wp14:anchorId="3B7075DE" wp14:editId="646687F5">
            <wp:extent cx="5339080" cy="1536892"/>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9080" cy="1536892"/>
                    </a:xfrm>
                    <a:prstGeom prst="rect">
                      <a:avLst/>
                    </a:prstGeom>
                    <a:noFill/>
                    <a:ln>
                      <a:noFill/>
                    </a:ln>
                  </pic:spPr>
                </pic:pic>
              </a:graphicData>
            </a:graphic>
          </wp:inline>
        </w:drawing>
      </w:r>
    </w:p>
    <w:p w:rsidR="00914951" w:rsidRDefault="00914951" w:rsidP="00EA216C">
      <w:pPr>
        <w:ind w:left="567"/>
        <w:jc w:val="both"/>
        <w:rPr>
          <w:rFonts w:cs="Arial"/>
          <w:szCs w:val="24"/>
        </w:rPr>
      </w:pPr>
    </w:p>
    <w:p w:rsidR="000232EB" w:rsidRDefault="000232EB" w:rsidP="000232EB">
      <w:pPr>
        <w:pStyle w:val="ListParagraph"/>
        <w:numPr>
          <w:ilvl w:val="0"/>
          <w:numId w:val="27"/>
        </w:numPr>
        <w:rPr>
          <w:rFonts w:cs="Arial"/>
          <w:szCs w:val="24"/>
        </w:rPr>
      </w:pPr>
      <w:r w:rsidRPr="000232EB">
        <w:rPr>
          <w:rFonts w:cs="Arial"/>
          <w:szCs w:val="24"/>
        </w:rPr>
        <w:t xml:space="preserve">After taking into account the £7.016m of schemes already committed as funded from BCIL in the programme, this leaves a balance of £715k available to fund new capital schemes.  The new programme </w:t>
      </w:r>
      <w:r>
        <w:rPr>
          <w:rFonts w:cs="Arial"/>
          <w:szCs w:val="24"/>
        </w:rPr>
        <w:t xml:space="preserve">set out at Appendix 1 and summarised in Table 6 below assumes </w:t>
      </w:r>
      <w:r w:rsidRPr="000232EB">
        <w:rPr>
          <w:rFonts w:cs="Arial"/>
          <w:szCs w:val="24"/>
        </w:rPr>
        <w:t>£6.</w:t>
      </w:r>
      <w:r>
        <w:rPr>
          <w:rFonts w:cs="Arial"/>
          <w:szCs w:val="24"/>
        </w:rPr>
        <w:t xml:space="preserve">536m </w:t>
      </w:r>
      <w:r w:rsidRPr="000232EB">
        <w:rPr>
          <w:rFonts w:cs="Arial"/>
          <w:szCs w:val="24"/>
        </w:rPr>
        <w:t>of BCIL funding</w:t>
      </w:r>
      <w:r>
        <w:rPr>
          <w:rFonts w:cs="Arial"/>
          <w:szCs w:val="24"/>
        </w:rPr>
        <w:t>.</w:t>
      </w:r>
      <w:r w:rsidRPr="000232EB">
        <w:rPr>
          <w:rFonts w:cs="Arial"/>
          <w:szCs w:val="24"/>
        </w:rPr>
        <w:t xml:space="preserve">  The planning policy team have estimated that the annual element of BCIL available to fund the capital programme is £2.4m.  Therefore, the estimated additional BCIL to be available for the reminder of 2019/20, and then 2020/21, 2021/22 and 2022/23 would be as circa £8.4m.  Applying £5.</w:t>
      </w:r>
      <w:r>
        <w:rPr>
          <w:rFonts w:cs="Arial"/>
          <w:szCs w:val="24"/>
        </w:rPr>
        <w:t>821m</w:t>
      </w:r>
      <w:r w:rsidRPr="000232EB">
        <w:rPr>
          <w:rFonts w:cs="Arial"/>
          <w:szCs w:val="24"/>
        </w:rPr>
        <w:t xml:space="preserve"> of estimated future BCIL funding (£6.</w:t>
      </w:r>
      <w:r>
        <w:rPr>
          <w:rFonts w:cs="Arial"/>
          <w:szCs w:val="24"/>
        </w:rPr>
        <w:t>536</w:t>
      </w:r>
      <w:r w:rsidRPr="000232EB">
        <w:rPr>
          <w:rFonts w:cs="Arial"/>
          <w:szCs w:val="24"/>
        </w:rPr>
        <w:t xml:space="preserve">m less £715k available) out of a total estimated future £8.4m of BCIL funding to be received is considered </w:t>
      </w:r>
      <w:r>
        <w:rPr>
          <w:rFonts w:cs="Arial"/>
          <w:szCs w:val="24"/>
        </w:rPr>
        <w:t>a reasonable assumption</w:t>
      </w:r>
      <w:r w:rsidRPr="000232EB">
        <w:rPr>
          <w:rFonts w:cs="Arial"/>
          <w:szCs w:val="24"/>
        </w:rPr>
        <w:t xml:space="preserve">.  However should this estimated level of BCIL not be received then it would be necessary to fund </w:t>
      </w:r>
      <w:r>
        <w:rPr>
          <w:rFonts w:cs="Arial"/>
          <w:szCs w:val="24"/>
        </w:rPr>
        <w:t xml:space="preserve">the schemes </w:t>
      </w:r>
      <w:r w:rsidRPr="000232EB">
        <w:rPr>
          <w:rFonts w:cs="Arial"/>
          <w:szCs w:val="24"/>
        </w:rPr>
        <w:t xml:space="preserve">from </w:t>
      </w:r>
      <w:r>
        <w:rPr>
          <w:rFonts w:cs="Arial"/>
          <w:szCs w:val="24"/>
        </w:rPr>
        <w:t xml:space="preserve">other sources but ultimately </w:t>
      </w:r>
      <w:r w:rsidRPr="000232EB">
        <w:rPr>
          <w:rFonts w:cs="Arial"/>
          <w:szCs w:val="24"/>
        </w:rPr>
        <w:t>borrowing.</w:t>
      </w:r>
    </w:p>
    <w:p w:rsidR="000232EB" w:rsidRDefault="000232EB" w:rsidP="000232EB">
      <w:pPr>
        <w:pStyle w:val="ListParagraph"/>
        <w:ind w:left="360"/>
        <w:rPr>
          <w:rFonts w:cs="Arial"/>
          <w:szCs w:val="24"/>
        </w:rPr>
      </w:pPr>
    </w:p>
    <w:p w:rsidR="000232EB" w:rsidRPr="000232EB" w:rsidRDefault="000232EB" w:rsidP="000232EB">
      <w:pPr>
        <w:pStyle w:val="ListParagraph"/>
        <w:ind w:left="360"/>
        <w:rPr>
          <w:rFonts w:cs="Arial"/>
          <w:szCs w:val="24"/>
        </w:rPr>
      </w:pPr>
      <w:r w:rsidRPr="000232EB">
        <w:rPr>
          <w:noProof/>
          <w:lang w:eastAsia="en-GB"/>
        </w:rPr>
        <w:drawing>
          <wp:inline distT="0" distB="0" distL="0" distR="0" wp14:anchorId="1A17C29B" wp14:editId="1C916444">
            <wp:extent cx="5339080" cy="1691448"/>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9080" cy="1691448"/>
                    </a:xfrm>
                    <a:prstGeom prst="rect">
                      <a:avLst/>
                    </a:prstGeom>
                    <a:noFill/>
                    <a:ln>
                      <a:noFill/>
                    </a:ln>
                  </pic:spPr>
                </pic:pic>
              </a:graphicData>
            </a:graphic>
          </wp:inline>
        </w:drawing>
      </w:r>
    </w:p>
    <w:p w:rsidR="00977A30" w:rsidRDefault="00977A30" w:rsidP="000E638E">
      <w:pPr>
        <w:tabs>
          <w:tab w:val="num" w:pos="1985"/>
        </w:tabs>
        <w:ind w:left="567"/>
        <w:jc w:val="both"/>
        <w:rPr>
          <w:rFonts w:cs="Arial"/>
          <w:b/>
          <w:szCs w:val="24"/>
        </w:rPr>
      </w:pPr>
    </w:p>
    <w:p w:rsidR="00105B2C" w:rsidRPr="00B17D40" w:rsidRDefault="006D68FB" w:rsidP="00EA216C">
      <w:pPr>
        <w:ind w:left="567" w:hanging="207"/>
        <w:jc w:val="both"/>
        <w:rPr>
          <w:rFonts w:cs="Arial"/>
          <w:b/>
          <w:szCs w:val="24"/>
        </w:rPr>
      </w:pPr>
      <w:r w:rsidRPr="00B17D40">
        <w:rPr>
          <w:rFonts w:cs="Arial"/>
          <w:b/>
          <w:szCs w:val="24"/>
        </w:rPr>
        <w:t>H</w:t>
      </w:r>
      <w:r w:rsidR="00914951">
        <w:rPr>
          <w:rFonts w:cs="Arial"/>
          <w:b/>
          <w:szCs w:val="24"/>
        </w:rPr>
        <w:t xml:space="preserve">ousing Revenue Account </w:t>
      </w:r>
      <w:r w:rsidR="00105B2C" w:rsidRPr="00B17D40">
        <w:rPr>
          <w:rFonts w:cs="Arial"/>
          <w:b/>
          <w:szCs w:val="24"/>
        </w:rPr>
        <w:t>(HRA)</w:t>
      </w:r>
    </w:p>
    <w:p w:rsidR="00CA7F5A" w:rsidRPr="00C1132B" w:rsidRDefault="00105B2C" w:rsidP="00EA216C">
      <w:pPr>
        <w:pStyle w:val="ListParagraph"/>
        <w:numPr>
          <w:ilvl w:val="0"/>
          <w:numId w:val="27"/>
        </w:numPr>
        <w:jc w:val="both"/>
      </w:pPr>
      <w:r w:rsidRPr="00C1132B">
        <w:rPr>
          <w:rFonts w:cs="Arial"/>
          <w:szCs w:val="24"/>
        </w:rPr>
        <w:t xml:space="preserve">The </w:t>
      </w:r>
      <w:r w:rsidR="00BC19E9" w:rsidRPr="00C1132B">
        <w:rPr>
          <w:rFonts w:cs="Arial"/>
          <w:szCs w:val="24"/>
        </w:rPr>
        <w:t xml:space="preserve">proposed </w:t>
      </w:r>
      <w:r w:rsidRPr="00C1132B">
        <w:rPr>
          <w:rFonts w:cs="Arial"/>
          <w:szCs w:val="24"/>
        </w:rPr>
        <w:t>HRA Capital Programme is detailed in a separate report to Cabinet elsewhere on this agenda.</w:t>
      </w:r>
      <w:r w:rsidR="00E23647" w:rsidRPr="00C1132B">
        <w:rPr>
          <w:rFonts w:cs="Arial"/>
          <w:szCs w:val="24"/>
        </w:rPr>
        <w:t xml:space="preserve">  Any implications from the HRA Capital Programme are funded from the Housing Revenue Account and do not impact upon the General Fund Budget.</w:t>
      </w:r>
      <w:r w:rsidR="00B17D40" w:rsidRPr="00C1132B">
        <w:rPr>
          <w:rFonts w:cs="Arial"/>
        </w:rPr>
        <w:t xml:space="preserve"> </w:t>
      </w:r>
    </w:p>
    <w:p w:rsidR="00914951" w:rsidRPr="007F1122" w:rsidRDefault="00914951" w:rsidP="00EA216C">
      <w:pPr>
        <w:pStyle w:val="ListParagraph"/>
        <w:ind w:left="360"/>
        <w:jc w:val="both"/>
      </w:pPr>
    </w:p>
    <w:p w:rsidR="00480518" w:rsidRPr="00EA216C" w:rsidRDefault="00480518" w:rsidP="00EA216C">
      <w:pPr>
        <w:tabs>
          <w:tab w:val="num" w:pos="2127"/>
        </w:tabs>
        <w:ind w:firstLine="426"/>
        <w:outlineLvl w:val="1"/>
        <w:rPr>
          <w:rFonts w:cs="Arial"/>
          <w:b/>
          <w:bCs/>
          <w:szCs w:val="24"/>
        </w:rPr>
      </w:pPr>
      <w:r w:rsidRPr="00EA216C">
        <w:rPr>
          <w:rFonts w:cs="Arial"/>
          <w:b/>
          <w:bCs/>
          <w:szCs w:val="24"/>
        </w:rPr>
        <w:lastRenderedPageBreak/>
        <w:t xml:space="preserve">Options considered </w:t>
      </w:r>
    </w:p>
    <w:p w:rsidR="00480518" w:rsidRPr="00480518" w:rsidRDefault="001F44EC" w:rsidP="00EA216C">
      <w:pPr>
        <w:numPr>
          <w:ilvl w:val="0"/>
          <w:numId w:val="27"/>
        </w:numPr>
        <w:tabs>
          <w:tab w:val="clear" w:pos="360"/>
          <w:tab w:val="num" w:pos="2268"/>
        </w:tabs>
        <w:ind w:left="426" w:hanging="709"/>
        <w:jc w:val="both"/>
        <w:rPr>
          <w:rFonts w:cs="Arial"/>
          <w:szCs w:val="24"/>
        </w:rPr>
      </w:pPr>
      <w:r>
        <w:t>A number of capital proposals are considered during the budget setting process.</w:t>
      </w:r>
    </w:p>
    <w:p w:rsidR="00480518" w:rsidRPr="00480518" w:rsidRDefault="00480518" w:rsidP="00480518"/>
    <w:p w:rsidR="00480518" w:rsidRPr="00EA216C" w:rsidRDefault="00480518" w:rsidP="00EA216C">
      <w:pPr>
        <w:ind w:firstLine="426"/>
        <w:outlineLvl w:val="1"/>
        <w:rPr>
          <w:rFonts w:cs="Arial"/>
          <w:b/>
          <w:bCs/>
          <w:szCs w:val="24"/>
        </w:rPr>
      </w:pPr>
      <w:r w:rsidRPr="00EA216C">
        <w:rPr>
          <w:rFonts w:cs="Arial"/>
          <w:b/>
          <w:bCs/>
          <w:szCs w:val="24"/>
        </w:rPr>
        <w:t>Legal Implications</w:t>
      </w:r>
    </w:p>
    <w:p w:rsidR="00480518" w:rsidRDefault="00480518" w:rsidP="00EA216C">
      <w:pPr>
        <w:numPr>
          <w:ilvl w:val="0"/>
          <w:numId w:val="27"/>
        </w:numPr>
        <w:tabs>
          <w:tab w:val="clear" w:pos="360"/>
          <w:tab w:val="num" w:pos="2268"/>
        </w:tabs>
        <w:ind w:left="426" w:hanging="426"/>
        <w:jc w:val="both"/>
      </w:pPr>
      <w:r w:rsidRPr="00480518">
        <w:t xml:space="preserve">Under the Financial Regulations paragraph B2 full council is responsible for agreeing the </w:t>
      </w:r>
      <w:proofErr w:type="gramStart"/>
      <w:r w:rsidRPr="00480518">
        <w:t>authorit</w:t>
      </w:r>
      <w:bookmarkStart w:id="0" w:name="_GoBack"/>
      <w:bookmarkEnd w:id="0"/>
      <w:r w:rsidRPr="00480518">
        <w:t>ies</w:t>
      </w:r>
      <w:proofErr w:type="gramEnd"/>
      <w:r w:rsidRPr="00480518">
        <w:t xml:space="preserve"> policy framework which are proposed by the cabinet </w:t>
      </w:r>
      <w:r w:rsidR="00D15CFA">
        <w:t xml:space="preserve">and </w:t>
      </w:r>
      <w:r w:rsidRPr="00480518">
        <w:t>this includes the capital programme.</w:t>
      </w:r>
      <w:r w:rsidR="00FA1D36">
        <w:t xml:space="preserve"> Under B41 the Director of Finance is responsible for producing an annual capital strategy for Cabinet to recommend to Council.</w:t>
      </w:r>
    </w:p>
    <w:p w:rsidR="000C14C9" w:rsidRPr="00480518" w:rsidRDefault="000C14C9" w:rsidP="000C14C9">
      <w:pPr>
        <w:ind w:left="709"/>
        <w:jc w:val="both"/>
      </w:pPr>
    </w:p>
    <w:p w:rsidR="00480518" w:rsidRPr="00EA216C" w:rsidRDefault="00480518" w:rsidP="00EA216C">
      <w:pPr>
        <w:ind w:firstLine="426"/>
        <w:outlineLvl w:val="1"/>
        <w:rPr>
          <w:rFonts w:cs="Arial"/>
          <w:b/>
          <w:bCs/>
          <w:szCs w:val="24"/>
        </w:rPr>
      </w:pPr>
      <w:r w:rsidRPr="00EA216C">
        <w:rPr>
          <w:rFonts w:cs="Arial"/>
          <w:b/>
          <w:bCs/>
          <w:szCs w:val="24"/>
        </w:rPr>
        <w:t>Financial Implications</w:t>
      </w:r>
    </w:p>
    <w:p w:rsid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Financial matters are integral to the report.</w:t>
      </w:r>
      <w:r w:rsidR="00D47AA9">
        <w:rPr>
          <w:rFonts w:cs="Arial"/>
          <w:szCs w:val="24"/>
        </w:rPr>
        <w:t xml:space="preserve">  The capital financing costs of all capital </w:t>
      </w:r>
      <w:r w:rsidR="007C120B">
        <w:rPr>
          <w:rFonts w:cs="Arial"/>
          <w:szCs w:val="24"/>
        </w:rPr>
        <w:t xml:space="preserve">investment </w:t>
      </w:r>
      <w:r w:rsidR="00D47AA9">
        <w:rPr>
          <w:rFonts w:cs="Arial"/>
          <w:szCs w:val="24"/>
        </w:rPr>
        <w:t xml:space="preserve">must be </w:t>
      </w:r>
      <w:r w:rsidR="007C120B">
        <w:rPr>
          <w:rFonts w:cs="Arial"/>
          <w:szCs w:val="24"/>
        </w:rPr>
        <w:t xml:space="preserve">provided for within </w:t>
      </w:r>
      <w:r w:rsidR="00D47AA9">
        <w:rPr>
          <w:rFonts w:cs="Arial"/>
          <w:szCs w:val="24"/>
        </w:rPr>
        <w:t xml:space="preserve">the revenue budget. </w:t>
      </w:r>
    </w:p>
    <w:p w:rsidR="00CA62F1" w:rsidRDefault="00CA62F1" w:rsidP="00A26B10">
      <w:pPr>
        <w:ind w:left="709"/>
        <w:jc w:val="both"/>
        <w:rPr>
          <w:rFonts w:cs="Arial"/>
          <w:szCs w:val="24"/>
        </w:rPr>
      </w:pPr>
    </w:p>
    <w:p w:rsidR="00CA62F1" w:rsidRPr="00EA216C" w:rsidRDefault="00914951" w:rsidP="00EA216C">
      <w:pPr>
        <w:ind w:left="426"/>
        <w:outlineLvl w:val="1"/>
        <w:rPr>
          <w:rFonts w:cs="Arial"/>
          <w:b/>
          <w:bCs/>
          <w:szCs w:val="24"/>
        </w:rPr>
      </w:pPr>
      <w:r>
        <w:rPr>
          <w:rFonts w:cs="Arial"/>
          <w:szCs w:val="24"/>
        </w:rPr>
        <w:t xml:space="preserve"> </w:t>
      </w:r>
      <w:r w:rsidR="00CA62F1" w:rsidRPr="00EA216C">
        <w:rPr>
          <w:rFonts w:cs="Arial"/>
          <w:b/>
          <w:bCs/>
          <w:szCs w:val="24"/>
        </w:rPr>
        <w:t>Procurement Implications</w:t>
      </w:r>
    </w:p>
    <w:p w:rsidR="00CA62F1" w:rsidRPr="00CA62F1" w:rsidRDefault="00CA62F1" w:rsidP="00EA216C">
      <w:pPr>
        <w:pStyle w:val="ListParagraph"/>
        <w:numPr>
          <w:ilvl w:val="0"/>
          <w:numId w:val="27"/>
        </w:numPr>
        <w:outlineLvl w:val="1"/>
        <w:rPr>
          <w:rFonts w:cs="Arial"/>
          <w:szCs w:val="24"/>
        </w:rPr>
      </w:pPr>
      <w:r>
        <w:rPr>
          <w:rFonts w:cs="Arial"/>
          <w:b/>
          <w:bCs/>
          <w:sz w:val="28"/>
          <w:szCs w:val="32"/>
        </w:rPr>
        <w:t xml:space="preserve"> </w:t>
      </w:r>
      <w:r w:rsidRPr="00A26B10">
        <w:rPr>
          <w:rFonts w:cs="Arial"/>
          <w:szCs w:val="24"/>
        </w:rPr>
        <w:t>There are no procurement implications arising from this report.</w:t>
      </w:r>
    </w:p>
    <w:p w:rsidR="00480518" w:rsidRDefault="00480518" w:rsidP="00480518"/>
    <w:p w:rsidR="00480518" w:rsidRPr="00EA216C" w:rsidRDefault="00914951" w:rsidP="00EA216C">
      <w:pPr>
        <w:ind w:firstLine="360"/>
        <w:outlineLvl w:val="1"/>
        <w:rPr>
          <w:rFonts w:cs="Arial"/>
          <w:b/>
          <w:bCs/>
          <w:szCs w:val="24"/>
        </w:rPr>
      </w:pPr>
      <w:r w:rsidRPr="00EA216C">
        <w:rPr>
          <w:rFonts w:cs="Arial"/>
          <w:b/>
          <w:bCs/>
          <w:szCs w:val="24"/>
        </w:rPr>
        <w:t xml:space="preserve"> </w:t>
      </w:r>
      <w:r w:rsidR="00480518" w:rsidRPr="00EA216C">
        <w:rPr>
          <w:rFonts w:cs="Arial"/>
          <w:b/>
          <w:bCs/>
          <w:szCs w:val="24"/>
        </w:rPr>
        <w:t>Performance Issues</w:t>
      </w:r>
    </w:p>
    <w:p w:rsidR="00480518" w:rsidRP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rsidR="00480518" w:rsidRPr="00480518" w:rsidRDefault="00480518" w:rsidP="00480518">
      <w:pPr>
        <w:ind w:left="567" w:hanging="567"/>
        <w:jc w:val="both"/>
        <w:rPr>
          <w:rFonts w:cs="Arial"/>
          <w:szCs w:val="24"/>
          <w:highlight w:val="green"/>
        </w:rPr>
      </w:pPr>
    </w:p>
    <w:p w:rsidR="00480518" w:rsidRDefault="007F4BDA" w:rsidP="00EA216C">
      <w:pPr>
        <w:numPr>
          <w:ilvl w:val="0"/>
          <w:numId w:val="27"/>
        </w:numPr>
        <w:tabs>
          <w:tab w:val="clear" w:pos="360"/>
          <w:tab w:val="num" w:pos="2268"/>
        </w:tabs>
        <w:ind w:left="426" w:hanging="426"/>
        <w:jc w:val="both"/>
        <w:rPr>
          <w:rFonts w:cs="Arial"/>
          <w:szCs w:val="24"/>
        </w:rPr>
      </w:pPr>
      <w:r>
        <w:rPr>
          <w:rFonts w:cs="Arial"/>
          <w:szCs w:val="24"/>
        </w:rPr>
        <w:t xml:space="preserve"> </w:t>
      </w:r>
      <w:r w:rsidR="00480518" w:rsidRPr="007F4BDA">
        <w:rPr>
          <w:rFonts w:cs="Arial"/>
          <w:szCs w:val="24"/>
        </w:rPr>
        <w:t xml:space="preserve">Monitoring of the approved </w:t>
      </w:r>
      <w:r w:rsidR="00953CF4" w:rsidRPr="007F4BDA">
        <w:rPr>
          <w:rFonts w:cs="Arial"/>
          <w:szCs w:val="24"/>
        </w:rPr>
        <w:t>programme</w:t>
      </w:r>
      <w:r w:rsidR="00480518" w:rsidRPr="007F4BDA">
        <w:rPr>
          <w:rFonts w:cs="Arial"/>
          <w:szCs w:val="24"/>
        </w:rPr>
        <w:t xml:space="preserve"> is ongoing and is essential for </w:t>
      </w:r>
      <w:r>
        <w:rPr>
          <w:rFonts w:cs="Arial"/>
          <w:szCs w:val="24"/>
        </w:rPr>
        <w:t xml:space="preserve">  </w:t>
      </w:r>
      <w:r w:rsidR="00914951">
        <w:rPr>
          <w:rFonts w:cs="Arial"/>
          <w:szCs w:val="24"/>
        </w:rPr>
        <w:t xml:space="preserve"> </w:t>
      </w:r>
      <w:r w:rsidR="00480518" w:rsidRPr="007F4BDA">
        <w:rPr>
          <w:rFonts w:cs="Arial"/>
          <w:szCs w:val="24"/>
        </w:rPr>
        <w:t xml:space="preserve">good financial management. </w:t>
      </w:r>
    </w:p>
    <w:p w:rsidR="007F4BDA" w:rsidRDefault="007F4BDA" w:rsidP="007F4BDA">
      <w:pPr>
        <w:pStyle w:val="ListParagraph"/>
        <w:rPr>
          <w:rFonts w:cs="Arial"/>
          <w:szCs w:val="24"/>
        </w:rPr>
      </w:pPr>
    </w:p>
    <w:p w:rsidR="00480518" w:rsidRPr="00480518" w:rsidRDefault="00480518" w:rsidP="00EA216C">
      <w:pPr>
        <w:numPr>
          <w:ilvl w:val="0"/>
          <w:numId w:val="27"/>
        </w:numPr>
        <w:tabs>
          <w:tab w:val="clear" w:pos="360"/>
          <w:tab w:val="num" w:pos="2268"/>
        </w:tabs>
        <w:ind w:left="567" w:hanging="567"/>
        <w:jc w:val="both"/>
        <w:rPr>
          <w:b/>
          <w:color w:val="0000FF"/>
          <w:sz w:val="28"/>
          <w:szCs w:val="28"/>
        </w:rPr>
      </w:pPr>
      <w:r w:rsidRPr="00480518">
        <w:t xml:space="preserve">It is proposed that a performance target is set of 90% of the approved budget </w:t>
      </w:r>
      <w:r w:rsidR="00D15CFA">
        <w:t>to be spent in year</w:t>
      </w:r>
      <w:r w:rsidRPr="00480518">
        <w:t>.  Having approved an investment programme it is important that the programme is then substantially delivered in the planned timeframe, in line with member priorities.</w:t>
      </w:r>
    </w:p>
    <w:p w:rsidR="001E441E" w:rsidRPr="00480518" w:rsidRDefault="001E441E" w:rsidP="00480518">
      <w:pPr>
        <w:ind w:left="567" w:hanging="567"/>
        <w:rPr>
          <w:color w:val="FF0000"/>
        </w:rPr>
      </w:pPr>
    </w:p>
    <w:p w:rsidR="00480518" w:rsidRPr="00EA216C" w:rsidRDefault="00480518" w:rsidP="00EA216C">
      <w:pPr>
        <w:ind w:left="567"/>
        <w:outlineLvl w:val="1"/>
        <w:rPr>
          <w:rFonts w:cs="Arial"/>
          <w:b/>
          <w:bCs/>
          <w:szCs w:val="24"/>
        </w:rPr>
      </w:pPr>
      <w:r w:rsidRPr="00EA216C">
        <w:rPr>
          <w:rFonts w:cs="Arial"/>
          <w:b/>
          <w:bCs/>
          <w:szCs w:val="24"/>
        </w:rPr>
        <w:t>Risk Management Implications</w:t>
      </w:r>
    </w:p>
    <w:p w:rsidR="00480518" w:rsidRP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The individual schemes within the programme will either be incorporated within departmental registers or have individual registers. A significant consideration in developing the programme has been the risks arising from not keeping our infrastructure in good order.  Not doing so would lead to an increase in health and safety risks and additional costs in replacing assets when they deteriorate too much to repair.</w:t>
      </w:r>
    </w:p>
    <w:p w:rsidR="00480518" w:rsidRPr="00480518" w:rsidRDefault="00480518" w:rsidP="00480518">
      <w:pPr>
        <w:ind w:left="567" w:right="141" w:hanging="567"/>
        <w:rPr>
          <w:rFonts w:cs="Arial"/>
          <w:szCs w:val="24"/>
        </w:rPr>
      </w:pPr>
    </w:p>
    <w:p w:rsidR="00480518" w:rsidRPr="00EA216C" w:rsidRDefault="00480518" w:rsidP="00EA216C">
      <w:pPr>
        <w:keepNext/>
        <w:ind w:left="567"/>
        <w:outlineLvl w:val="1"/>
        <w:rPr>
          <w:rFonts w:cs="Arial"/>
          <w:b/>
          <w:bCs/>
          <w:color w:val="FF0000"/>
          <w:szCs w:val="24"/>
        </w:rPr>
      </w:pPr>
      <w:r w:rsidRPr="00EA216C">
        <w:rPr>
          <w:rFonts w:cs="Arial"/>
          <w:b/>
          <w:bCs/>
          <w:szCs w:val="24"/>
        </w:rPr>
        <w:t>Equalities implications / Public Sector Equality Duty</w:t>
      </w:r>
    </w:p>
    <w:p w:rsidR="00480518" w:rsidRP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One of the aims of the Capital Strategy is to ensure the responsible allocation of funding in line with the Council’s priorities and legislative requirements such as equalities legislation. Equalities implications form part of the way that the projects are prioritised.  The officer’s initial views are that no protected group is adversely affected by the proposals.  A number of the projects proposed in the programme will require full Equality Impact Assessments before they commence. Following consultation the impact will be further reviewed before the programme is finalised.</w:t>
      </w:r>
    </w:p>
    <w:p w:rsidR="00480518" w:rsidRPr="00480518" w:rsidRDefault="00480518" w:rsidP="00480518">
      <w:pPr>
        <w:tabs>
          <w:tab w:val="left" w:pos="6150"/>
        </w:tabs>
        <w:ind w:left="567" w:hanging="567"/>
        <w:jc w:val="both"/>
      </w:pPr>
      <w:r w:rsidRPr="00480518">
        <w:tab/>
      </w:r>
    </w:p>
    <w:p w:rsid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 xml:space="preserve">Decision makers should have due regard to the public sector equality duty in making their decisions. Consideration of the duties should precede the decision. It is important that Cabinet has regard to the </w:t>
      </w:r>
      <w:r w:rsidRPr="00480518">
        <w:rPr>
          <w:rFonts w:cs="Arial"/>
          <w:szCs w:val="24"/>
        </w:rPr>
        <w:lastRenderedPageBreak/>
        <w:t>statutory grounds in the light of all available material such as material in the press and letters from residents. The statutory grounds of the public sector equality duty are found at section 149 of the Equality Act 2010 and are as follows:</w:t>
      </w:r>
      <w:r w:rsidR="00914951">
        <w:rPr>
          <w:rFonts w:cs="Arial"/>
          <w:szCs w:val="24"/>
        </w:rPr>
        <w:t xml:space="preserve"> </w:t>
      </w:r>
    </w:p>
    <w:p w:rsidR="00914951" w:rsidRPr="00480518" w:rsidRDefault="00914951" w:rsidP="00EA216C">
      <w:pPr>
        <w:ind w:left="567"/>
        <w:jc w:val="both"/>
        <w:rPr>
          <w:rFonts w:cs="Arial"/>
          <w:szCs w:val="24"/>
        </w:rPr>
      </w:pPr>
    </w:p>
    <w:p w:rsidR="00480518" w:rsidRPr="00480518" w:rsidRDefault="00FC2CCF" w:rsidP="00480518">
      <w:pPr>
        <w:ind w:left="567"/>
        <w:jc w:val="both"/>
        <w:rPr>
          <w:rFonts w:cs="Arial"/>
          <w:i/>
          <w:iCs/>
          <w:szCs w:val="24"/>
        </w:rPr>
      </w:pPr>
      <w:r>
        <w:rPr>
          <w:rFonts w:cs="Arial"/>
          <w:i/>
          <w:iCs/>
          <w:szCs w:val="24"/>
        </w:rPr>
        <w:t xml:space="preserve">  </w:t>
      </w:r>
      <w:r w:rsidR="00480518" w:rsidRPr="00480518">
        <w:rPr>
          <w:rFonts w:cs="Arial"/>
          <w:i/>
          <w:iCs/>
          <w:szCs w:val="24"/>
        </w:rPr>
        <w:t xml:space="preserve">A public authority must, in the exercise of its functions, have due regard </w:t>
      </w:r>
      <w:r>
        <w:rPr>
          <w:rFonts w:cs="Arial"/>
          <w:i/>
          <w:iCs/>
          <w:szCs w:val="24"/>
        </w:rPr>
        <w:t xml:space="preserve">   </w:t>
      </w:r>
      <w:r w:rsidR="00480518" w:rsidRPr="00480518">
        <w:rPr>
          <w:rFonts w:cs="Arial"/>
          <w:i/>
          <w:iCs/>
          <w:szCs w:val="24"/>
        </w:rPr>
        <w:t>to the need to:</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eliminate discrimination, harassment, victimisation and any other conduct that is prohibited by or under this Act;</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advance equality of opportunity between persons who share a relevant protected characteristic and persons who do not share it;</w:t>
      </w:r>
    </w:p>
    <w:p w:rsidR="00480518" w:rsidRPr="00480518" w:rsidRDefault="00480518" w:rsidP="00480518">
      <w:pPr>
        <w:numPr>
          <w:ilvl w:val="1"/>
          <w:numId w:val="30"/>
        </w:numPr>
        <w:ind w:left="748" w:firstLine="0"/>
        <w:jc w:val="both"/>
        <w:rPr>
          <w:rFonts w:cs="Arial"/>
          <w:i/>
          <w:iCs/>
          <w:szCs w:val="24"/>
        </w:rPr>
      </w:pPr>
      <w:proofErr w:type="gramStart"/>
      <w:r w:rsidRPr="00480518">
        <w:rPr>
          <w:rFonts w:cs="Arial"/>
          <w:i/>
          <w:iCs/>
          <w:szCs w:val="24"/>
        </w:rPr>
        <w:t>foster</w:t>
      </w:r>
      <w:proofErr w:type="gramEnd"/>
      <w:r w:rsidRPr="00480518">
        <w:rPr>
          <w:rFonts w:cs="Arial"/>
          <w:i/>
          <w:iCs/>
          <w:szCs w:val="24"/>
        </w:rPr>
        <w:t xml:space="preserve"> good relations between persons who share a relevant protected characteristic and persons who do not share it.</w:t>
      </w:r>
    </w:p>
    <w:p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Race,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Marriage and Civil partnership</w:t>
      </w:r>
    </w:p>
    <w:p w:rsidR="00480518" w:rsidRPr="00480518" w:rsidRDefault="00480518" w:rsidP="00480518">
      <w:pPr>
        <w:jc w:val="both"/>
        <w:rPr>
          <w:rFonts w:cs="Arial"/>
        </w:rPr>
      </w:pP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Consultation responses received on this draft programme will be taken into account in drafting the final EIA</w:t>
      </w:r>
      <w:bookmarkStart w:id="1" w:name="LastEdit"/>
      <w:bookmarkEnd w:id="1"/>
      <w:r w:rsidRPr="00480518">
        <w:rPr>
          <w:rFonts w:cs="Arial"/>
          <w:szCs w:val="24"/>
        </w:rPr>
        <w:t>.</w:t>
      </w:r>
    </w:p>
    <w:p w:rsidR="00480518" w:rsidRPr="00480518" w:rsidRDefault="00480518" w:rsidP="00480518">
      <w:pPr>
        <w:ind w:left="567" w:hanging="567"/>
      </w:pPr>
    </w:p>
    <w:p w:rsidR="00480518" w:rsidRPr="00BB41B1" w:rsidRDefault="00480518" w:rsidP="00BB41B1">
      <w:pPr>
        <w:pStyle w:val="ListParagraph"/>
        <w:numPr>
          <w:ilvl w:val="0"/>
          <w:numId w:val="27"/>
        </w:numPr>
        <w:tabs>
          <w:tab w:val="clear" w:pos="360"/>
          <w:tab w:val="num" w:pos="709"/>
        </w:tabs>
        <w:ind w:left="709" w:hanging="709"/>
        <w:rPr>
          <w:b/>
          <w:sz w:val="28"/>
          <w:szCs w:val="28"/>
        </w:rPr>
      </w:pPr>
      <w:r w:rsidRPr="00BB41B1">
        <w:rPr>
          <w:b/>
          <w:sz w:val="28"/>
          <w:szCs w:val="28"/>
        </w:rPr>
        <w:t xml:space="preserve">Council Priorities </w:t>
      </w:r>
    </w:p>
    <w:p w:rsidR="00BB41B1" w:rsidRDefault="00BB41B1" w:rsidP="00BB41B1">
      <w:pPr>
        <w:tabs>
          <w:tab w:val="left" w:pos="7470"/>
        </w:tabs>
        <w:ind w:left="709" w:hanging="709"/>
        <w:rPr>
          <w:rFonts w:cs="Arial"/>
          <w:szCs w:val="24"/>
        </w:rPr>
      </w:pPr>
      <w:r>
        <w:rPr>
          <w:rFonts w:cs="Arial"/>
          <w:szCs w:val="24"/>
        </w:rPr>
        <w:tab/>
      </w:r>
      <w:r w:rsidRPr="00D378CC">
        <w:rPr>
          <w:rFonts w:cs="Arial"/>
          <w:szCs w:val="24"/>
        </w:rPr>
        <w:t xml:space="preserve">The </w:t>
      </w:r>
      <w:r>
        <w:rPr>
          <w:rFonts w:cs="Arial"/>
          <w:szCs w:val="24"/>
        </w:rPr>
        <w:t xml:space="preserve">Council’s draft Capital Programme for 2020//21 to 2022/23 </w:t>
      </w:r>
      <w:proofErr w:type="gramStart"/>
      <w:r>
        <w:rPr>
          <w:rFonts w:cs="Arial"/>
          <w:szCs w:val="24"/>
        </w:rPr>
        <w:t>has</w:t>
      </w:r>
      <w:proofErr w:type="gramEnd"/>
      <w:r>
        <w:rPr>
          <w:rFonts w:cs="Arial"/>
          <w:szCs w:val="24"/>
        </w:rPr>
        <w:t xml:space="preserve"> been prepared in line with the </w:t>
      </w:r>
      <w:r w:rsidRPr="00D378CC">
        <w:rPr>
          <w:rFonts w:cs="Arial"/>
          <w:szCs w:val="24"/>
        </w:rPr>
        <w:t xml:space="preserve">Council’s </w:t>
      </w:r>
      <w:r>
        <w:rPr>
          <w:rFonts w:cs="Arial"/>
          <w:szCs w:val="24"/>
        </w:rPr>
        <w:t>priorities:</w:t>
      </w:r>
      <w:r>
        <w:rPr>
          <w:rFonts w:cs="Arial"/>
          <w:szCs w:val="24"/>
        </w:rPr>
        <w:tab/>
      </w:r>
    </w:p>
    <w:p w:rsidR="00BB41B1" w:rsidRDefault="00BB41B1" w:rsidP="00BB41B1">
      <w:pPr>
        <w:rPr>
          <w:rFonts w:cs="Arial"/>
          <w:b/>
          <w:szCs w:val="24"/>
        </w:rPr>
      </w:pPr>
    </w:p>
    <w:p w:rsidR="00BB41B1" w:rsidRPr="00356159" w:rsidRDefault="00BB41B1" w:rsidP="00BB41B1">
      <w:pPr>
        <w:tabs>
          <w:tab w:val="left" w:pos="748"/>
        </w:tabs>
        <w:ind w:left="1418" w:hanging="284"/>
        <w:jc w:val="both"/>
        <w:rPr>
          <w:rFonts w:cs="Arial"/>
          <w:szCs w:val="24"/>
        </w:rPr>
      </w:pPr>
      <w:r>
        <w:rPr>
          <w:rFonts w:cs="Arial"/>
          <w:szCs w:val="24"/>
          <w:lang w:val="en"/>
        </w:rPr>
        <w:t>●</w:t>
      </w:r>
      <w:r>
        <w:rPr>
          <w:rFonts w:cs="Arial"/>
          <w:szCs w:val="24"/>
          <w:lang w:val="en"/>
        </w:rPr>
        <w:tab/>
        <w:t>Building a Better Harrow</w:t>
      </w:r>
    </w:p>
    <w:p w:rsidR="00BB41B1" w:rsidRPr="00356159" w:rsidRDefault="00BB41B1" w:rsidP="00BB41B1">
      <w:pPr>
        <w:tabs>
          <w:tab w:val="left" w:pos="0"/>
        </w:tabs>
        <w:suppressAutoHyphens/>
        <w:ind w:firstLine="1134"/>
        <w:jc w:val="both"/>
        <w:rPr>
          <w:rFonts w:cs="Arial"/>
          <w:szCs w:val="24"/>
        </w:rPr>
      </w:pPr>
      <w:r>
        <w:rPr>
          <w:rFonts w:cs="Arial"/>
          <w:szCs w:val="24"/>
        </w:rPr>
        <w:t>●</w:t>
      </w:r>
      <w:r>
        <w:rPr>
          <w:rFonts w:cs="Arial"/>
          <w:szCs w:val="24"/>
        </w:rPr>
        <w:tab/>
        <w:t>Supporting Those Most in Need</w:t>
      </w:r>
    </w:p>
    <w:p w:rsidR="00BB41B1" w:rsidRPr="00356159" w:rsidRDefault="00BB41B1" w:rsidP="00BB41B1">
      <w:pPr>
        <w:tabs>
          <w:tab w:val="left" w:pos="748"/>
        </w:tabs>
        <w:suppressAutoHyphens/>
        <w:ind w:left="1418" w:hanging="284"/>
        <w:jc w:val="both"/>
        <w:rPr>
          <w:rFonts w:cs="Arial"/>
          <w:szCs w:val="24"/>
        </w:rPr>
      </w:pPr>
      <w:r>
        <w:rPr>
          <w:rFonts w:cs="Arial"/>
          <w:szCs w:val="24"/>
        </w:rPr>
        <w:t>●</w:t>
      </w:r>
      <w:r>
        <w:rPr>
          <w:rFonts w:cs="Arial"/>
          <w:szCs w:val="24"/>
        </w:rPr>
        <w:tab/>
        <w:t>Protecting Vital Public Services</w:t>
      </w:r>
    </w:p>
    <w:p w:rsidR="00BB41B1" w:rsidRDefault="00BB41B1" w:rsidP="00BB41B1">
      <w:pPr>
        <w:tabs>
          <w:tab w:val="left" w:pos="1418"/>
        </w:tabs>
        <w:suppressAutoHyphens/>
        <w:ind w:firstLine="1134"/>
        <w:jc w:val="both"/>
        <w:rPr>
          <w:rFonts w:cs="Arial"/>
          <w:szCs w:val="24"/>
        </w:rPr>
      </w:pPr>
      <w:r>
        <w:rPr>
          <w:rFonts w:cs="Arial"/>
          <w:szCs w:val="24"/>
        </w:rPr>
        <w:t>●</w:t>
      </w:r>
      <w:r>
        <w:rPr>
          <w:rFonts w:cs="Arial"/>
          <w:szCs w:val="24"/>
        </w:rPr>
        <w:tab/>
        <w:t>Delivering a Strong Local Economy for All</w:t>
      </w:r>
    </w:p>
    <w:p w:rsidR="00BB41B1" w:rsidRDefault="00BB41B1" w:rsidP="00BB41B1">
      <w:pPr>
        <w:tabs>
          <w:tab w:val="left" w:pos="1418"/>
        </w:tabs>
        <w:suppressAutoHyphens/>
        <w:ind w:firstLine="1134"/>
        <w:jc w:val="both"/>
        <w:rPr>
          <w:rFonts w:cs="Arial"/>
          <w:szCs w:val="24"/>
        </w:rPr>
      </w:pPr>
      <w:r>
        <w:rPr>
          <w:rFonts w:cs="Arial"/>
          <w:szCs w:val="24"/>
        </w:rPr>
        <w:t>●</w:t>
      </w:r>
      <w:r>
        <w:rPr>
          <w:rFonts w:cs="Arial"/>
          <w:szCs w:val="24"/>
        </w:rPr>
        <w:tab/>
        <w:t>Modernising Harrow Council</w:t>
      </w:r>
    </w:p>
    <w:p w:rsidR="00CA62F1" w:rsidRDefault="00CA62F1" w:rsidP="00333FAA">
      <w:pPr>
        <w:pStyle w:val="Heading1"/>
        <w:keepNext/>
        <w:rPr>
          <w:sz w:val="28"/>
          <w:szCs w:val="28"/>
        </w:rPr>
      </w:pPr>
    </w:p>
    <w:p w:rsidR="00333FAA" w:rsidRPr="00B14937" w:rsidRDefault="00333FAA" w:rsidP="00333FAA">
      <w:pPr>
        <w:pStyle w:val="Heading1"/>
        <w:keepNext/>
        <w:rPr>
          <w:sz w:val="28"/>
          <w:szCs w:val="28"/>
        </w:rPr>
      </w:pPr>
      <w:r w:rsidRPr="00B14937">
        <w:rPr>
          <w:sz w:val="28"/>
          <w:szCs w:val="28"/>
        </w:rPr>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gridCol w:w="382"/>
        <w:gridCol w:w="235"/>
        <w:gridCol w:w="3627"/>
      </w:tblGrid>
      <w:tr w:rsidR="00333FAA" w:rsidRPr="00D47AA9">
        <w:tc>
          <w:tcPr>
            <w:tcW w:w="4752" w:type="dxa"/>
            <w:tcBorders>
              <w:bottom w:val="nil"/>
              <w:right w:val="nil"/>
            </w:tcBorders>
          </w:tcPr>
          <w:p w:rsidR="00333FAA" w:rsidRPr="00D47AA9" w:rsidRDefault="00333FAA" w:rsidP="00A53B04">
            <w:pPr>
              <w:pStyle w:val="Infotext"/>
              <w:rPr>
                <w:sz w:val="24"/>
                <w:szCs w:val="24"/>
              </w:rPr>
            </w:pPr>
          </w:p>
        </w:tc>
        <w:tc>
          <w:tcPr>
            <w:tcW w:w="387" w:type="dxa"/>
            <w:tcBorders>
              <w:left w:val="nil"/>
              <w:right w:val="nil"/>
            </w:tcBorders>
          </w:tcPr>
          <w:p w:rsidR="00333FAA" w:rsidRPr="00D47AA9" w:rsidRDefault="00333FAA" w:rsidP="00A53B04">
            <w:pPr>
              <w:pStyle w:val="Infotext"/>
              <w:rPr>
                <w:sz w:val="24"/>
                <w:szCs w:val="24"/>
              </w:rPr>
            </w:pPr>
          </w:p>
        </w:tc>
        <w:tc>
          <w:tcPr>
            <w:tcW w:w="236" w:type="dxa"/>
            <w:tcBorders>
              <w:left w:val="nil"/>
              <w:bottom w:val="nil"/>
              <w:right w:val="nil"/>
            </w:tcBorders>
          </w:tcPr>
          <w:p w:rsidR="00333FAA" w:rsidRPr="00D47AA9" w:rsidRDefault="00333FAA" w:rsidP="00A53B04">
            <w:pPr>
              <w:pStyle w:val="Infotext"/>
              <w:rPr>
                <w:sz w:val="24"/>
                <w:szCs w:val="24"/>
              </w:rPr>
            </w:pPr>
          </w:p>
        </w:tc>
        <w:tc>
          <w:tcPr>
            <w:tcW w:w="3890" w:type="dxa"/>
            <w:tcBorders>
              <w:left w:val="nil"/>
              <w:bottom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p>
        </w:tc>
      </w:tr>
      <w:tr w:rsidR="00333FAA" w:rsidRPr="00D47AA9">
        <w:tc>
          <w:tcPr>
            <w:tcW w:w="4752" w:type="dxa"/>
            <w:tcBorders>
              <w:top w:val="nil"/>
              <w:bottom w:val="nil"/>
            </w:tcBorders>
          </w:tcPr>
          <w:p w:rsidR="00333FAA" w:rsidRPr="00D47AA9" w:rsidRDefault="00333FAA" w:rsidP="00566EB8">
            <w:pPr>
              <w:pStyle w:val="Infotext"/>
              <w:rPr>
                <w:sz w:val="24"/>
                <w:szCs w:val="24"/>
              </w:rPr>
            </w:pPr>
            <w:r w:rsidRPr="00D47AA9">
              <w:rPr>
                <w:sz w:val="24"/>
                <w:szCs w:val="24"/>
              </w:rPr>
              <w:t>Name:</w:t>
            </w:r>
            <w:r w:rsidR="00DB6C3D" w:rsidRPr="00D47AA9">
              <w:rPr>
                <w:sz w:val="24"/>
                <w:szCs w:val="24"/>
              </w:rPr>
              <w:t xml:space="preserve"> </w:t>
            </w:r>
            <w:r w:rsidR="006B5039">
              <w:rPr>
                <w:sz w:val="24"/>
                <w:szCs w:val="24"/>
              </w:rPr>
              <w:t>Dawn Calvert</w:t>
            </w:r>
          </w:p>
        </w:tc>
        <w:tc>
          <w:tcPr>
            <w:tcW w:w="387" w:type="dxa"/>
            <w:tcBorders>
              <w:bottom w:val="single" w:sz="4" w:space="0" w:color="auto"/>
            </w:tcBorders>
          </w:tcPr>
          <w:p w:rsidR="00333FAA" w:rsidRPr="00D47AA9" w:rsidRDefault="006B5039" w:rsidP="00A53B04">
            <w:pPr>
              <w:pStyle w:val="Infotext"/>
              <w:rPr>
                <w:sz w:val="24"/>
                <w:szCs w:val="24"/>
              </w:rPr>
            </w:pPr>
            <w:r>
              <w:rPr>
                <w:sz w:val="24"/>
                <w:szCs w:val="24"/>
              </w:rPr>
              <w:t>x</w:t>
            </w:r>
          </w:p>
        </w:tc>
        <w:tc>
          <w:tcPr>
            <w:tcW w:w="236" w:type="dxa"/>
            <w:tcBorders>
              <w:top w:val="nil"/>
              <w:bottom w:val="nil"/>
              <w:right w:val="nil"/>
            </w:tcBorders>
          </w:tcPr>
          <w:p w:rsidR="00333FAA" w:rsidRPr="00D47AA9" w:rsidRDefault="00333FAA" w:rsidP="00A53B04">
            <w:pPr>
              <w:pStyle w:val="Infotext"/>
              <w:rPr>
                <w:sz w:val="24"/>
                <w:szCs w:val="24"/>
              </w:rPr>
            </w:pPr>
          </w:p>
        </w:tc>
        <w:tc>
          <w:tcPr>
            <w:tcW w:w="3890" w:type="dxa"/>
            <w:tcBorders>
              <w:top w:val="nil"/>
              <w:left w:val="nil"/>
              <w:bottom w:val="nil"/>
            </w:tcBorders>
          </w:tcPr>
          <w:p w:rsidR="00333FAA" w:rsidRPr="00D47AA9" w:rsidRDefault="00333FAA" w:rsidP="00A53B04">
            <w:pPr>
              <w:pStyle w:val="Infotext"/>
              <w:rPr>
                <w:sz w:val="24"/>
                <w:szCs w:val="24"/>
              </w:rPr>
            </w:pPr>
            <w:r w:rsidRPr="00D47AA9">
              <w:rPr>
                <w:sz w:val="24"/>
                <w:szCs w:val="24"/>
              </w:rPr>
              <w:t>Chief Financial Officer</w:t>
            </w:r>
          </w:p>
        </w:tc>
      </w:tr>
      <w:tr w:rsidR="00333FAA" w:rsidRPr="00D47AA9">
        <w:tc>
          <w:tcPr>
            <w:tcW w:w="4752" w:type="dxa"/>
            <w:tcBorders>
              <w:top w:val="nil"/>
              <w:right w:val="nil"/>
            </w:tcBorders>
          </w:tcPr>
          <w:p w:rsidR="00333FAA" w:rsidRPr="00D47AA9" w:rsidRDefault="00333FAA" w:rsidP="00A53B04">
            <w:pPr>
              <w:pStyle w:val="Infotext"/>
              <w:rPr>
                <w:sz w:val="24"/>
                <w:szCs w:val="24"/>
              </w:rPr>
            </w:pPr>
            <w:r w:rsidRPr="00D47AA9">
              <w:rPr>
                <w:sz w:val="24"/>
                <w:szCs w:val="24"/>
              </w:rPr>
              <w:t xml:space="preserve"> </w:t>
            </w:r>
          </w:p>
          <w:p w:rsidR="00333FAA" w:rsidRPr="00D47AA9" w:rsidRDefault="00333FAA" w:rsidP="00E45B3B">
            <w:pPr>
              <w:pStyle w:val="Infotext"/>
              <w:rPr>
                <w:sz w:val="24"/>
                <w:szCs w:val="24"/>
              </w:rPr>
            </w:pPr>
            <w:r w:rsidRPr="00D47AA9">
              <w:rPr>
                <w:sz w:val="24"/>
                <w:szCs w:val="24"/>
              </w:rPr>
              <w:t xml:space="preserve">Date: </w:t>
            </w:r>
            <w:r w:rsidR="00566F24">
              <w:rPr>
                <w:sz w:val="24"/>
                <w:szCs w:val="24"/>
              </w:rPr>
              <w:t xml:space="preserve"> </w:t>
            </w:r>
            <w:r w:rsidR="006B5039">
              <w:rPr>
                <w:sz w:val="24"/>
                <w:szCs w:val="24"/>
              </w:rPr>
              <w:t>19.12.19</w:t>
            </w:r>
          </w:p>
        </w:tc>
        <w:tc>
          <w:tcPr>
            <w:tcW w:w="387" w:type="dxa"/>
            <w:tcBorders>
              <w:left w:val="nil"/>
              <w:bottom w:val="single" w:sz="4" w:space="0" w:color="auto"/>
              <w:right w:val="nil"/>
            </w:tcBorders>
          </w:tcPr>
          <w:p w:rsidR="00333FAA" w:rsidRPr="00D47AA9" w:rsidRDefault="00333FAA" w:rsidP="00A53B04">
            <w:pPr>
              <w:pStyle w:val="Infotext"/>
              <w:rPr>
                <w:sz w:val="24"/>
                <w:szCs w:val="24"/>
              </w:rPr>
            </w:pPr>
          </w:p>
        </w:tc>
        <w:tc>
          <w:tcPr>
            <w:tcW w:w="236" w:type="dxa"/>
            <w:tcBorders>
              <w:top w:val="nil"/>
              <w:left w:val="nil"/>
              <w:right w:val="nil"/>
            </w:tcBorders>
          </w:tcPr>
          <w:p w:rsidR="00333FAA" w:rsidRPr="00D47AA9" w:rsidRDefault="00333FAA" w:rsidP="00A53B04">
            <w:pPr>
              <w:pStyle w:val="Infotext"/>
              <w:rPr>
                <w:sz w:val="24"/>
                <w:szCs w:val="24"/>
              </w:rPr>
            </w:pPr>
          </w:p>
        </w:tc>
        <w:tc>
          <w:tcPr>
            <w:tcW w:w="3890" w:type="dxa"/>
            <w:tcBorders>
              <w:top w:val="nil"/>
              <w:left w:val="nil"/>
            </w:tcBorders>
          </w:tcPr>
          <w:p w:rsidR="00333FAA" w:rsidRPr="00D47AA9" w:rsidRDefault="00333FAA" w:rsidP="00A53B04">
            <w:pPr>
              <w:pStyle w:val="Infotext"/>
              <w:rPr>
                <w:sz w:val="24"/>
                <w:szCs w:val="24"/>
              </w:rPr>
            </w:pPr>
          </w:p>
        </w:tc>
      </w:tr>
      <w:tr w:rsidR="00333FAA" w:rsidRPr="00D47AA9">
        <w:tc>
          <w:tcPr>
            <w:tcW w:w="4752" w:type="dxa"/>
            <w:tcBorders>
              <w:bottom w:val="nil"/>
              <w:right w:val="nil"/>
            </w:tcBorders>
          </w:tcPr>
          <w:p w:rsidR="00333FAA" w:rsidRPr="00D47AA9" w:rsidRDefault="00333FAA" w:rsidP="00A53B04">
            <w:pPr>
              <w:pStyle w:val="Infotext"/>
              <w:rPr>
                <w:sz w:val="24"/>
                <w:szCs w:val="24"/>
              </w:rPr>
            </w:pPr>
          </w:p>
        </w:tc>
        <w:tc>
          <w:tcPr>
            <w:tcW w:w="387" w:type="dxa"/>
            <w:tcBorders>
              <w:left w:val="nil"/>
              <w:right w:val="nil"/>
            </w:tcBorders>
          </w:tcPr>
          <w:p w:rsidR="00333FAA" w:rsidRPr="00D47AA9" w:rsidRDefault="00333FAA" w:rsidP="00A53B04">
            <w:pPr>
              <w:pStyle w:val="Infotext"/>
              <w:rPr>
                <w:sz w:val="24"/>
                <w:szCs w:val="24"/>
              </w:rPr>
            </w:pPr>
          </w:p>
        </w:tc>
        <w:tc>
          <w:tcPr>
            <w:tcW w:w="236" w:type="dxa"/>
            <w:tcBorders>
              <w:left w:val="nil"/>
              <w:bottom w:val="nil"/>
              <w:right w:val="nil"/>
            </w:tcBorders>
          </w:tcPr>
          <w:p w:rsidR="00333FAA" w:rsidRPr="00D47AA9" w:rsidRDefault="00333FAA" w:rsidP="00A53B04">
            <w:pPr>
              <w:pStyle w:val="Infotext"/>
              <w:rPr>
                <w:sz w:val="24"/>
                <w:szCs w:val="24"/>
              </w:rPr>
            </w:pPr>
          </w:p>
        </w:tc>
        <w:tc>
          <w:tcPr>
            <w:tcW w:w="3890" w:type="dxa"/>
            <w:tcBorders>
              <w:left w:val="nil"/>
              <w:bottom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r w:rsidRPr="00D47AA9">
              <w:rPr>
                <w:sz w:val="24"/>
                <w:szCs w:val="24"/>
              </w:rPr>
              <w:t>on behalf of the</w:t>
            </w:r>
            <w:r w:rsidR="001966D7" w:rsidRPr="00D47AA9">
              <w:rPr>
                <w:sz w:val="24"/>
                <w:szCs w:val="24"/>
              </w:rPr>
              <w:t xml:space="preserve"> *</w:t>
            </w:r>
          </w:p>
        </w:tc>
      </w:tr>
      <w:tr w:rsidR="00333FAA" w:rsidRPr="00D47AA9">
        <w:tc>
          <w:tcPr>
            <w:tcW w:w="4752" w:type="dxa"/>
            <w:tcBorders>
              <w:top w:val="nil"/>
              <w:bottom w:val="nil"/>
            </w:tcBorders>
          </w:tcPr>
          <w:p w:rsidR="00333FAA" w:rsidRPr="00D47AA9" w:rsidRDefault="00333FAA" w:rsidP="0058224A">
            <w:pPr>
              <w:pStyle w:val="Infotext"/>
              <w:rPr>
                <w:sz w:val="24"/>
                <w:szCs w:val="24"/>
              </w:rPr>
            </w:pPr>
            <w:r w:rsidRPr="00D47AA9">
              <w:rPr>
                <w:sz w:val="24"/>
                <w:szCs w:val="24"/>
              </w:rPr>
              <w:t xml:space="preserve">Name: </w:t>
            </w:r>
            <w:r w:rsidR="006B5039">
              <w:rPr>
                <w:sz w:val="24"/>
                <w:szCs w:val="24"/>
              </w:rPr>
              <w:t>Jessica Farmer</w:t>
            </w:r>
          </w:p>
        </w:tc>
        <w:tc>
          <w:tcPr>
            <w:tcW w:w="387" w:type="dxa"/>
            <w:tcBorders>
              <w:bottom w:val="single" w:sz="4" w:space="0" w:color="auto"/>
            </w:tcBorders>
          </w:tcPr>
          <w:p w:rsidR="00333FAA" w:rsidRPr="00D47AA9" w:rsidRDefault="006B5039" w:rsidP="00A53B04">
            <w:pPr>
              <w:pStyle w:val="Infotext"/>
              <w:rPr>
                <w:sz w:val="24"/>
                <w:szCs w:val="24"/>
              </w:rPr>
            </w:pPr>
            <w:r>
              <w:rPr>
                <w:sz w:val="24"/>
                <w:szCs w:val="24"/>
              </w:rPr>
              <w:t>x</w:t>
            </w:r>
          </w:p>
        </w:tc>
        <w:tc>
          <w:tcPr>
            <w:tcW w:w="236" w:type="dxa"/>
            <w:tcBorders>
              <w:top w:val="nil"/>
              <w:bottom w:val="nil"/>
              <w:right w:val="nil"/>
            </w:tcBorders>
          </w:tcPr>
          <w:p w:rsidR="00333FAA" w:rsidRPr="00D47AA9" w:rsidRDefault="00333FAA" w:rsidP="00A53B04">
            <w:pPr>
              <w:pStyle w:val="Infotext"/>
              <w:rPr>
                <w:sz w:val="24"/>
                <w:szCs w:val="24"/>
              </w:rPr>
            </w:pPr>
          </w:p>
        </w:tc>
        <w:tc>
          <w:tcPr>
            <w:tcW w:w="3890" w:type="dxa"/>
            <w:tcBorders>
              <w:top w:val="nil"/>
              <w:left w:val="nil"/>
              <w:bottom w:val="nil"/>
            </w:tcBorders>
          </w:tcPr>
          <w:p w:rsidR="00333FAA" w:rsidRPr="00D47AA9" w:rsidRDefault="00333FAA" w:rsidP="00A53B04">
            <w:pPr>
              <w:pStyle w:val="Infotext"/>
              <w:rPr>
                <w:sz w:val="24"/>
                <w:szCs w:val="24"/>
              </w:rPr>
            </w:pPr>
            <w:r w:rsidRPr="00D47AA9">
              <w:rPr>
                <w:sz w:val="24"/>
                <w:szCs w:val="24"/>
              </w:rPr>
              <w:t>Monitoring Officer</w:t>
            </w:r>
          </w:p>
        </w:tc>
      </w:tr>
      <w:tr w:rsidR="00333FAA" w:rsidRPr="00D47AA9">
        <w:tc>
          <w:tcPr>
            <w:tcW w:w="4752" w:type="dxa"/>
            <w:tcBorders>
              <w:top w:val="nil"/>
              <w:right w:val="nil"/>
            </w:tcBorders>
          </w:tcPr>
          <w:p w:rsidR="00333FAA" w:rsidRPr="00D47AA9" w:rsidRDefault="00333FAA" w:rsidP="00A53B04">
            <w:pPr>
              <w:pStyle w:val="Infotext"/>
              <w:rPr>
                <w:sz w:val="24"/>
                <w:szCs w:val="24"/>
              </w:rPr>
            </w:pPr>
          </w:p>
          <w:p w:rsidR="00333FAA" w:rsidRPr="00D47AA9" w:rsidRDefault="00333FAA" w:rsidP="00E45B3B">
            <w:pPr>
              <w:pStyle w:val="Infotext"/>
              <w:rPr>
                <w:sz w:val="24"/>
                <w:szCs w:val="24"/>
              </w:rPr>
            </w:pPr>
            <w:r w:rsidRPr="00D47AA9">
              <w:rPr>
                <w:sz w:val="24"/>
                <w:szCs w:val="24"/>
              </w:rPr>
              <w:t xml:space="preserve">Date: </w:t>
            </w:r>
            <w:r w:rsidR="006B5039">
              <w:rPr>
                <w:sz w:val="24"/>
                <w:szCs w:val="24"/>
              </w:rPr>
              <w:t>20.12.19</w:t>
            </w:r>
          </w:p>
        </w:tc>
        <w:tc>
          <w:tcPr>
            <w:tcW w:w="387" w:type="dxa"/>
            <w:tcBorders>
              <w:left w:val="nil"/>
              <w:right w:val="nil"/>
            </w:tcBorders>
          </w:tcPr>
          <w:p w:rsidR="00333FAA" w:rsidRPr="00D47AA9" w:rsidRDefault="00333FAA" w:rsidP="00A53B04">
            <w:pPr>
              <w:pStyle w:val="Infotext"/>
              <w:rPr>
                <w:sz w:val="24"/>
                <w:szCs w:val="24"/>
              </w:rPr>
            </w:pPr>
          </w:p>
        </w:tc>
        <w:tc>
          <w:tcPr>
            <w:tcW w:w="236" w:type="dxa"/>
            <w:tcBorders>
              <w:top w:val="nil"/>
              <w:left w:val="nil"/>
              <w:right w:val="nil"/>
            </w:tcBorders>
          </w:tcPr>
          <w:p w:rsidR="00333FAA" w:rsidRPr="00D47AA9" w:rsidRDefault="00333FAA" w:rsidP="00A53B04">
            <w:pPr>
              <w:pStyle w:val="Infotext"/>
              <w:rPr>
                <w:sz w:val="24"/>
                <w:szCs w:val="24"/>
              </w:rPr>
            </w:pPr>
          </w:p>
        </w:tc>
        <w:tc>
          <w:tcPr>
            <w:tcW w:w="3890" w:type="dxa"/>
            <w:tcBorders>
              <w:top w:val="nil"/>
              <w:left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p>
        </w:tc>
      </w:tr>
    </w:tbl>
    <w:p w:rsidR="00333FAA" w:rsidRDefault="00333FAA" w:rsidP="00333FAA"/>
    <w:p w:rsidR="00CA62F1" w:rsidRPr="00A26B10" w:rsidRDefault="00CA62F1" w:rsidP="00CA62F1">
      <w:pPr>
        <w:pStyle w:val="Heading1"/>
        <w:keepNext/>
        <w:rPr>
          <w:sz w:val="28"/>
          <w:szCs w:val="28"/>
        </w:rPr>
      </w:pPr>
      <w:r w:rsidRPr="00A26B10">
        <w:rPr>
          <w:sz w:val="28"/>
          <w:szCs w:val="28"/>
        </w:rPr>
        <w:lastRenderedPageBreak/>
        <w:t>Section 3 – Procurement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371"/>
        <w:gridCol w:w="238"/>
        <w:gridCol w:w="3672"/>
      </w:tblGrid>
      <w:tr w:rsidR="00CA62F1" w:rsidTr="001F609B">
        <w:tc>
          <w:tcPr>
            <w:tcW w:w="4271" w:type="dxa"/>
            <w:tcBorders>
              <w:bottom w:val="nil"/>
              <w:right w:val="nil"/>
            </w:tcBorders>
          </w:tcPr>
          <w:p w:rsidR="00CA62F1" w:rsidRPr="00A26B10" w:rsidRDefault="00CA62F1" w:rsidP="001F609B">
            <w:pPr>
              <w:pStyle w:val="Infotext"/>
              <w:rPr>
                <w:sz w:val="24"/>
                <w:szCs w:val="24"/>
              </w:rPr>
            </w:pPr>
          </w:p>
        </w:tc>
        <w:tc>
          <w:tcPr>
            <w:tcW w:w="365" w:type="dxa"/>
            <w:tcBorders>
              <w:left w:val="nil"/>
              <w:right w:val="nil"/>
            </w:tcBorders>
          </w:tcPr>
          <w:p w:rsidR="00CA62F1" w:rsidRPr="00A26B10" w:rsidRDefault="00CA62F1" w:rsidP="001F609B">
            <w:pPr>
              <w:pStyle w:val="Infotext"/>
              <w:rPr>
                <w:sz w:val="24"/>
                <w:szCs w:val="24"/>
              </w:rPr>
            </w:pPr>
          </w:p>
        </w:tc>
        <w:tc>
          <w:tcPr>
            <w:tcW w:w="234" w:type="dxa"/>
            <w:tcBorders>
              <w:left w:val="nil"/>
              <w:bottom w:val="nil"/>
              <w:right w:val="nil"/>
            </w:tcBorders>
          </w:tcPr>
          <w:p w:rsidR="00CA62F1" w:rsidRPr="00A26B10" w:rsidRDefault="00CA62F1" w:rsidP="001F609B">
            <w:pPr>
              <w:pStyle w:val="Infotext"/>
              <w:rPr>
                <w:sz w:val="24"/>
                <w:szCs w:val="24"/>
              </w:rPr>
            </w:pPr>
          </w:p>
        </w:tc>
        <w:tc>
          <w:tcPr>
            <w:tcW w:w="3612" w:type="dxa"/>
            <w:tcBorders>
              <w:left w:val="nil"/>
              <w:bottom w:val="nil"/>
            </w:tcBorders>
          </w:tcPr>
          <w:p w:rsidR="00CA62F1" w:rsidRPr="00A26B10" w:rsidRDefault="00CA62F1" w:rsidP="001F609B">
            <w:pPr>
              <w:pStyle w:val="Infotext"/>
              <w:rPr>
                <w:sz w:val="24"/>
                <w:szCs w:val="24"/>
              </w:rPr>
            </w:pPr>
          </w:p>
          <w:p w:rsidR="00CA62F1" w:rsidRPr="00A26B10" w:rsidRDefault="00CA62F1" w:rsidP="001F609B">
            <w:pPr>
              <w:pStyle w:val="Infotext"/>
              <w:rPr>
                <w:sz w:val="24"/>
                <w:szCs w:val="24"/>
              </w:rPr>
            </w:pPr>
            <w:r w:rsidRPr="00A26B10">
              <w:rPr>
                <w:sz w:val="24"/>
                <w:szCs w:val="24"/>
              </w:rPr>
              <w:t>on behalf of the *</w:t>
            </w:r>
          </w:p>
        </w:tc>
      </w:tr>
      <w:tr w:rsidR="00CA62F1" w:rsidTr="001F609B">
        <w:tc>
          <w:tcPr>
            <w:tcW w:w="4271" w:type="dxa"/>
            <w:tcBorders>
              <w:top w:val="nil"/>
              <w:bottom w:val="nil"/>
            </w:tcBorders>
          </w:tcPr>
          <w:p w:rsidR="00CA62F1" w:rsidRPr="00A26B10" w:rsidRDefault="00E919C9" w:rsidP="001F609B">
            <w:pPr>
              <w:pStyle w:val="Infotext"/>
              <w:rPr>
                <w:sz w:val="24"/>
                <w:szCs w:val="24"/>
              </w:rPr>
            </w:pPr>
            <w:r>
              <w:rPr>
                <w:sz w:val="24"/>
                <w:szCs w:val="24"/>
              </w:rPr>
              <w:t xml:space="preserve">Name: </w:t>
            </w:r>
            <w:r w:rsidR="00CA62F1" w:rsidRPr="00A26B10">
              <w:rPr>
                <w:sz w:val="24"/>
                <w:szCs w:val="24"/>
              </w:rPr>
              <w:t xml:space="preserve"> </w:t>
            </w:r>
            <w:r w:rsidR="006B5039">
              <w:rPr>
                <w:sz w:val="24"/>
                <w:szCs w:val="24"/>
              </w:rPr>
              <w:t>Nimesh Mehta</w:t>
            </w:r>
          </w:p>
        </w:tc>
        <w:tc>
          <w:tcPr>
            <w:tcW w:w="365" w:type="dxa"/>
            <w:tcBorders>
              <w:bottom w:val="single" w:sz="4" w:space="0" w:color="auto"/>
            </w:tcBorders>
          </w:tcPr>
          <w:p w:rsidR="00CA62F1" w:rsidRPr="00A26B10" w:rsidRDefault="00CA62F1" w:rsidP="001F609B">
            <w:pPr>
              <w:pStyle w:val="Infotext"/>
              <w:rPr>
                <w:sz w:val="24"/>
                <w:szCs w:val="24"/>
              </w:rPr>
            </w:pPr>
          </w:p>
          <w:p w:rsidR="00CA62F1" w:rsidRPr="00A26B10" w:rsidRDefault="006B5039" w:rsidP="001F609B">
            <w:pPr>
              <w:pStyle w:val="Infotext"/>
              <w:rPr>
                <w:sz w:val="24"/>
                <w:szCs w:val="24"/>
              </w:rPr>
            </w:pPr>
            <w:r>
              <w:rPr>
                <w:sz w:val="24"/>
                <w:szCs w:val="24"/>
              </w:rPr>
              <w:t>x</w:t>
            </w:r>
          </w:p>
        </w:tc>
        <w:tc>
          <w:tcPr>
            <w:tcW w:w="234" w:type="dxa"/>
            <w:tcBorders>
              <w:top w:val="nil"/>
              <w:bottom w:val="nil"/>
              <w:right w:val="nil"/>
            </w:tcBorders>
          </w:tcPr>
          <w:p w:rsidR="00CA62F1" w:rsidRPr="00A26B10" w:rsidRDefault="00CA62F1" w:rsidP="001F609B">
            <w:pPr>
              <w:pStyle w:val="Infotext"/>
              <w:rPr>
                <w:sz w:val="24"/>
                <w:szCs w:val="24"/>
              </w:rPr>
            </w:pPr>
          </w:p>
        </w:tc>
        <w:tc>
          <w:tcPr>
            <w:tcW w:w="3612" w:type="dxa"/>
            <w:tcBorders>
              <w:top w:val="nil"/>
              <w:left w:val="nil"/>
              <w:bottom w:val="nil"/>
            </w:tcBorders>
          </w:tcPr>
          <w:p w:rsidR="00CA62F1" w:rsidRPr="00A26B10" w:rsidRDefault="00CA62F1" w:rsidP="001F609B">
            <w:pPr>
              <w:pStyle w:val="Infotext"/>
              <w:rPr>
                <w:sz w:val="24"/>
                <w:szCs w:val="24"/>
              </w:rPr>
            </w:pPr>
            <w:r w:rsidRPr="00A26B10">
              <w:rPr>
                <w:sz w:val="24"/>
                <w:szCs w:val="24"/>
              </w:rPr>
              <w:t>Head of Procurement Officer</w:t>
            </w:r>
          </w:p>
        </w:tc>
      </w:tr>
      <w:tr w:rsidR="00CA62F1" w:rsidTr="001F609B">
        <w:tc>
          <w:tcPr>
            <w:tcW w:w="4271" w:type="dxa"/>
            <w:tcBorders>
              <w:top w:val="nil"/>
              <w:right w:val="nil"/>
            </w:tcBorders>
          </w:tcPr>
          <w:p w:rsidR="00CA62F1" w:rsidRPr="00A26B10" w:rsidRDefault="00CA62F1" w:rsidP="001F609B">
            <w:pPr>
              <w:pStyle w:val="Infotext"/>
              <w:rPr>
                <w:sz w:val="24"/>
                <w:szCs w:val="24"/>
              </w:rPr>
            </w:pPr>
            <w:r w:rsidRPr="00A26B10">
              <w:rPr>
                <w:sz w:val="24"/>
                <w:szCs w:val="24"/>
              </w:rPr>
              <w:t xml:space="preserve"> </w:t>
            </w:r>
          </w:p>
          <w:p w:rsidR="00CA62F1" w:rsidRPr="00A26B10" w:rsidRDefault="00CA62F1" w:rsidP="001F609B">
            <w:pPr>
              <w:pStyle w:val="Infotext"/>
              <w:rPr>
                <w:sz w:val="24"/>
                <w:szCs w:val="24"/>
              </w:rPr>
            </w:pPr>
            <w:r w:rsidRPr="00A26B10">
              <w:rPr>
                <w:sz w:val="24"/>
                <w:szCs w:val="24"/>
              </w:rPr>
              <w:t xml:space="preserve">Date:  </w:t>
            </w:r>
            <w:r w:rsidR="006B5039">
              <w:rPr>
                <w:sz w:val="24"/>
                <w:szCs w:val="24"/>
              </w:rPr>
              <w:t>19.12.19</w:t>
            </w:r>
          </w:p>
        </w:tc>
        <w:tc>
          <w:tcPr>
            <w:tcW w:w="365" w:type="dxa"/>
            <w:tcBorders>
              <w:left w:val="nil"/>
              <w:bottom w:val="single" w:sz="4" w:space="0" w:color="auto"/>
              <w:right w:val="nil"/>
            </w:tcBorders>
          </w:tcPr>
          <w:p w:rsidR="00CA62F1" w:rsidRPr="00A26B10" w:rsidRDefault="00CA62F1" w:rsidP="001F609B">
            <w:pPr>
              <w:pStyle w:val="Infotext"/>
              <w:rPr>
                <w:sz w:val="24"/>
                <w:szCs w:val="24"/>
              </w:rPr>
            </w:pPr>
          </w:p>
        </w:tc>
        <w:tc>
          <w:tcPr>
            <w:tcW w:w="234" w:type="dxa"/>
            <w:tcBorders>
              <w:top w:val="nil"/>
              <w:left w:val="nil"/>
              <w:right w:val="nil"/>
            </w:tcBorders>
          </w:tcPr>
          <w:p w:rsidR="00CA62F1" w:rsidRPr="00A26B10" w:rsidRDefault="00CA62F1" w:rsidP="001F609B">
            <w:pPr>
              <w:pStyle w:val="Infotext"/>
              <w:rPr>
                <w:sz w:val="24"/>
                <w:szCs w:val="24"/>
              </w:rPr>
            </w:pPr>
          </w:p>
        </w:tc>
        <w:tc>
          <w:tcPr>
            <w:tcW w:w="3612" w:type="dxa"/>
            <w:tcBorders>
              <w:top w:val="nil"/>
              <w:left w:val="nil"/>
            </w:tcBorders>
          </w:tcPr>
          <w:p w:rsidR="00CA62F1" w:rsidRPr="00A26B10" w:rsidRDefault="00CA62F1" w:rsidP="001F609B">
            <w:pPr>
              <w:pStyle w:val="Infotext"/>
              <w:rPr>
                <w:sz w:val="24"/>
                <w:szCs w:val="24"/>
              </w:rPr>
            </w:pPr>
          </w:p>
        </w:tc>
      </w:tr>
    </w:tbl>
    <w:p w:rsidR="00CA62F1" w:rsidRDefault="00CA62F1" w:rsidP="00333FAA"/>
    <w:p w:rsidR="00E919C9" w:rsidRPr="00A26B10" w:rsidRDefault="00E919C9" w:rsidP="00E919C9">
      <w:pPr>
        <w:pStyle w:val="Heading1"/>
        <w:keepNext/>
        <w:rPr>
          <w:sz w:val="28"/>
          <w:szCs w:val="28"/>
        </w:rPr>
      </w:pPr>
      <w:r w:rsidRPr="00A26B10">
        <w:rPr>
          <w:sz w:val="28"/>
          <w:szCs w:val="28"/>
        </w:rPr>
        <w:t xml:space="preserve">Section 3 – </w:t>
      </w:r>
      <w:r>
        <w:rPr>
          <w:sz w:val="28"/>
          <w:szCs w:val="28"/>
        </w:rPr>
        <w:t xml:space="preserve">Corporate Director </w:t>
      </w:r>
      <w:r w:rsidRPr="00A26B10">
        <w:rPr>
          <w:sz w:val="28"/>
          <w:szCs w:val="28"/>
        </w:rPr>
        <w:t>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371"/>
        <w:gridCol w:w="238"/>
        <w:gridCol w:w="3672"/>
      </w:tblGrid>
      <w:tr w:rsidR="00E919C9" w:rsidTr="00DE7BB9">
        <w:tc>
          <w:tcPr>
            <w:tcW w:w="4271" w:type="dxa"/>
            <w:tcBorders>
              <w:bottom w:val="nil"/>
              <w:right w:val="nil"/>
            </w:tcBorders>
          </w:tcPr>
          <w:p w:rsidR="00E919C9" w:rsidRPr="00A26B10" w:rsidRDefault="00E919C9" w:rsidP="00DE7BB9">
            <w:pPr>
              <w:pStyle w:val="Infotext"/>
              <w:rPr>
                <w:sz w:val="24"/>
                <w:szCs w:val="24"/>
              </w:rPr>
            </w:pPr>
          </w:p>
        </w:tc>
        <w:tc>
          <w:tcPr>
            <w:tcW w:w="365" w:type="dxa"/>
            <w:tcBorders>
              <w:left w:val="nil"/>
              <w:right w:val="nil"/>
            </w:tcBorders>
          </w:tcPr>
          <w:p w:rsidR="00E919C9" w:rsidRPr="00A26B10" w:rsidRDefault="00E919C9" w:rsidP="00DE7BB9">
            <w:pPr>
              <w:pStyle w:val="Infotext"/>
              <w:rPr>
                <w:sz w:val="24"/>
                <w:szCs w:val="24"/>
              </w:rPr>
            </w:pPr>
          </w:p>
        </w:tc>
        <w:tc>
          <w:tcPr>
            <w:tcW w:w="234" w:type="dxa"/>
            <w:tcBorders>
              <w:left w:val="nil"/>
              <w:bottom w:val="nil"/>
              <w:right w:val="nil"/>
            </w:tcBorders>
          </w:tcPr>
          <w:p w:rsidR="00E919C9" w:rsidRPr="00A26B10" w:rsidRDefault="00E919C9" w:rsidP="00DE7BB9">
            <w:pPr>
              <w:pStyle w:val="Infotext"/>
              <w:rPr>
                <w:sz w:val="24"/>
                <w:szCs w:val="24"/>
              </w:rPr>
            </w:pPr>
          </w:p>
        </w:tc>
        <w:tc>
          <w:tcPr>
            <w:tcW w:w="3612" w:type="dxa"/>
            <w:tcBorders>
              <w:left w:val="nil"/>
              <w:bottom w:val="nil"/>
            </w:tcBorders>
          </w:tcPr>
          <w:p w:rsidR="00E919C9" w:rsidRPr="00A26B10" w:rsidRDefault="00E919C9" w:rsidP="00DE7BB9">
            <w:pPr>
              <w:pStyle w:val="Infotext"/>
              <w:rPr>
                <w:sz w:val="24"/>
                <w:szCs w:val="24"/>
              </w:rPr>
            </w:pPr>
          </w:p>
          <w:p w:rsidR="00E919C9" w:rsidRPr="00A26B10" w:rsidRDefault="00E919C9" w:rsidP="00DE7BB9">
            <w:pPr>
              <w:pStyle w:val="Infotext"/>
              <w:rPr>
                <w:sz w:val="24"/>
                <w:szCs w:val="24"/>
              </w:rPr>
            </w:pPr>
          </w:p>
        </w:tc>
      </w:tr>
      <w:tr w:rsidR="00E919C9" w:rsidTr="00DE7BB9">
        <w:tc>
          <w:tcPr>
            <w:tcW w:w="4271" w:type="dxa"/>
            <w:tcBorders>
              <w:top w:val="nil"/>
              <w:bottom w:val="nil"/>
            </w:tcBorders>
          </w:tcPr>
          <w:p w:rsidR="00E919C9" w:rsidRPr="00A26B10" w:rsidRDefault="00E919C9" w:rsidP="006B5039">
            <w:pPr>
              <w:pStyle w:val="Infotext"/>
              <w:rPr>
                <w:sz w:val="24"/>
                <w:szCs w:val="24"/>
              </w:rPr>
            </w:pPr>
            <w:r>
              <w:rPr>
                <w:sz w:val="24"/>
                <w:szCs w:val="24"/>
              </w:rPr>
              <w:t xml:space="preserve">Name: </w:t>
            </w:r>
            <w:r w:rsidRPr="00A26B10">
              <w:rPr>
                <w:sz w:val="24"/>
                <w:szCs w:val="24"/>
              </w:rPr>
              <w:t xml:space="preserve"> </w:t>
            </w:r>
            <w:r w:rsidR="006B5039">
              <w:rPr>
                <w:sz w:val="24"/>
                <w:szCs w:val="24"/>
              </w:rPr>
              <w:t>Charlie Stewart</w:t>
            </w:r>
          </w:p>
        </w:tc>
        <w:tc>
          <w:tcPr>
            <w:tcW w:w="365" w:type="dxa"/>
            <w:tcBorders>
              <w:bottom w:val="single" w:sz="4" w:space="0" w:color="auto"/>
            </w:tcBorders>
          </w:tcPr>
          <w:p w:rsidR="00E919C9" w:rsidRPr="00A26B10" w:rsidRDefault="00E919C9" w:rsidP="00DE7BB9">
            <w:pPr>
              <w:pStyle w:val="Infotext"/>
              <w:rPr>
                <w:sz w:val="24"/>
                <w:szCs w:val="24"/>
              </w:rPr>
            </w:pPr>
          </w:p>
          <w:p w:rsidR="00E919C9" w:rsidRPr="00A26B10" w:rsidRDefault="006B5039" w:rsidP="00DE7BB9">
            <w:pPr>
              <w:pStyle w:val="Infotext"/>
              <w:rPr>
                <w:sz w:val="24"/>
                <w:szCs w:val="24"/>
              </w:rPr>
            </w:pPr>
            <w:r>
              <w:rPr>
                <w:sz w:val="24"/>
                <w:szCs w:val="24"/>
              </w:rPr>
              <w:t>x</w:t>
            </w:r>
          </w:p>
        </w:tc>
        <w:tc>
          <w:tcPr>
            <w:tcW w:w="234" w:type="dxa"/>
            <w:tcBorders>
              <w:top w:val="nil"/>
              <w:bottom w:val="nil"/>
              <w:right w:val="nil"/>
            </w:tcBorders>
          </w:tcPr>
          <w:p w:rsidR="00E919C9" w:rsidRPr="00A26B10" w:rsidRDefault="00E919C9" w:rsidP="00DE7BB9">
            <w:pPr>
              <w:pStyle w:val="Infotext"/>
              <w:rPr>
                <w:sz w:val="24"/>
                <w:szCs w:val="24"/>
              </w:rPr>
            </w:pPr>
          </w:p>
        </w:tc>
        <w:tc>
          <w:tcPr>
            <w:tcW w:w="3612" w:type="dxa"/>
            <w:tcBorders>
              <w:top w:val="nil"/>
              <w:left w:val="nil"/>
              <w:bottom w:val="nil"/>
            </w:tcBorders>
          </w:tcPr>
          <w:p w:rsidR="00E919C9" w:rsidRPr="00A26B10" w:rsidRDefault="00E919C9" w:rsidP="00DE7BB9">
            <w:pPr>
              <w:pStyle w:val="Infotext"/>
              <w:rPr>
                <w:sz w:val="24"/>
                <w:szCs w:val="24"/>
              </w:rPr>
            </w:pPr>
            <w:r>
              <w:rPr>
                <w:sz w:val="24"/>
                <w:szCs w:val="24"/>
              </w:rPr>
              <w:t>Corporate Director</w:t>
            </w:r>
          </w:p>
        </w:tc>
      </w:tr>
      <w:tr w:rsidR="00E919C9" w:rsidTr="00DE7BB9">
        <w:tc>
          <w:tcPr>
            <w:tcW w:w="4271" w:type="dxa"/>
            <w:tcBorders>
              <w:top w:val="nil"/>
              <w:right w:val="nil"/>
            </w:tcBorders>
          </w:tcPr>
          <w:p w:rsidR="00E919C9" w:rsidRPr="00A26B10" w:rsidRDefault="00E919C9" w:rsidP="00DE7BB9">
            <w:pPr>
              <w:pStyle w:val="Infotext"/>
              <w:rPr>
                <w:sz w:val="24"/>
                <w:szCs w:val="24"/>
              </w:rPr>
            </w:pPr>
            <w:r w:rsidRPr="00A26B10">
              <w:rPr>
                <w:sz w:val="24"/>
                <w:szCs w:val="24"/>
              </w:rPr>
              <w:t xml:space="preserve"> </w:t>
            </w:r>
          </w:p>
          <w:p w:rsidR="00E919C9" w:rsidRPr="00A26B10" w:rsidRDefault="00E919C9" w:rsidP="00DE7BB9">
            <w:pPr>
              <w:pStyle w:val="Infotext"/>
              <w:rPr>
                <w:sz w:val="24"/>
                <w:szCs w:val="24"/>
              </w:rPr>
            </w:pPr>
            <w:r w:rsidRPr="00A26B10">
              <w:rPr>
                <w:sz w:val="24"/>
                <w:szCs w:val="24"/>
              </w:rPr>
              <w:t xml:space="preserve">Date:  </w:t>
            </w:r>
            <w:r w:rsidR="006B5039">
              <w:rPr>
                <w:sz w:val="24"/>
                <w:szCs w:val="24"/>
              </w:rPr>
              <w:t>19.12.19</w:t>
            </w:r>
          </w:p>
        </w:tc>
        <w:tc>
          <w:tcPr>
            <w:tcW w:w="365" w:type="dxa"/>
            <w:tcBorders>
              <w:left w:val="nil"/>
              <w:bottom w:val="single" w:sz="4" w:space="0" w:color="auto"/>
              <w:right w:val="nil"/>
            </w:tcBorders>
          </w:tcPr>
          <w:p w:rsidR="00E919C9" w:rsidRPr="00A26B10" w:rsidRDefault="00E919C9" w:rsidP="00DE7BB9">
            <w:pPr>
              <w:pStyle w:val="Infotext"/>
              <w:rPr>
                <w:sz w:val="24"/>
                <w:szCs w:val="24"/>
              </w:rPr>
            </w:pPr>
          </w:p>
        </w:tc>
        <w:tc>
          <w:tcPr>
            <w:tcW w:w="234" w:type="dxa"/>
            <w:tcBorders>
              <w:top w:val="nil"/>
              <w:left w:val="nil"/>
              <w:right w:val="nil"/>
            </w:tcBorders>
          </w:tcPr>
          <w:p w:rsidR="00E919C9" w:rsidRPr="00A26B10" w:rsidRDefault="00E919C9" w:rsidP="00DE7BB9">
            <w:pPr>
              <w:pStyle w:val="Infotext"/>
              <w:rPr>
                <w:sz w:val="24"/>
                <w:szCs w:val="24"/>
              </w:rPr>
            </w:pPr>
          </w:p>
        </w:tc>
        <w:tc>
          <w:tcPr>
            <w:tcW w:w="3612" w:type="dxa"/>
            <w:tcBorders>
              <w:top w:val="nil"/>
              <w:left w:val="nil"/>
            </w:tcBorders>
          </w:tcPr>
          <w:p w:rsidR="00E919C9" w:rsidRPr="00A26B10" w:rsidRDefault="00E919C9" w:rsidP="00DE7BB9">
            <w:pPr>
              <w:pStyle w:val="Infotext"/>
              <w:rPr>
                <w:sz w:val="24"/>
                <w:szCs w:val="24"/>
              </w:rPr>
            </w:pPr>
          </w:p>
        </w:tc>
      </w:tr>
    </w:tbl>
    <w:p w:rsidR="00E919C9" w:rsidRDefault="00E919C9" w:rsidP="00E919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3406"/>
      </w:tblGrid>
      <w:tr w:rsidR="00333FAA">
        <w:trPr>
          <w:trHeight w:val="965"/>
        </w:trPr>
        <w:tc>
          <w:tcPr>
            <w:tcW w:w="3025" w:type="pct"/>
            <w:tcBorders>
              <w:right w:val="nil"/>
            </w:tcBorders>
          </w:tcPr>
          <w:p w:rsidR="00333FAA" w:rsidRPr="00D47AA9" w:rsidRDefault="00333FAA" w:rsidP="00A53B04">
            <w:pPr>
              <w:pStyle w:val="Infotext"/>
              <w:rPr>
                <w:rFonts w:ascii="Arial Black" w:hAnsi="Arial Black"/>
                <w:sz w:val="24"/>
                <w:szCs w:val="24"/>
              </w:rPr>
            </w:pPr>
          </w:p>
          <w:p w:rsidR="00333FAA" w:rsidRPr="00D47AA9" w:rsidRDefault="00333FAA" w:rsidP="00A53B04">
            <w:pPr>
              <w:pStyle w:val="Infotext"/>
              <w:rPr>
                <w:rFonts w:ascii="Arial Black" w:hAnsi="Arial Black"/>
                <w:sz w:val="24"/>
                <w:szCs w:val="24"/>
              </w:rPr>
            </w:pPr>
            <w:r w:rsidRPr="00D47AA9">
              <w:rPr>
                <w:rFonts w:ascii="Arial Black" w:hAnsi="Arial Black"/>
                <w:sz w:val="24"/>
                <w:szCs w:val="24"/>
              </w:rPr>
              <w:t>Ward Councillors notified:</w:t>
            </w:r>
          </w:p>
          <w:p w:rsidR="00333FAA" w:rsidRPr="00D47AA9" w:rsidRDefault="00333FAA" w:rsidP="00A53B04">
            <w:pPr>
              <w:pStyle w:val="Infotext"/>
              <w:rPr>
                <w:color w:val="FF0000"/>
                <w:sz w:val="24"/>
                <w:szCs w:val="24"/>
              </w:rPr>
            </w:pPr>
          </w:p>
        </w:tc>
        <w:tc>
          <w:tcPr>
            <w:tcW w:w="1975" w:type="pct"/>
            <w:tcBorders>
              <w:left w:val="nil"/>
            </w:tcBorders>
          </w:tcPr>
          <w:p w:rsidR="00333FAA" w:rsidRPr="00D47AA9" w:rsidRDefault="00333FAA" w:rsidP="00A53B04">
            <w:pPr>
              <w:pStyle w:val="Infotext"/>
              <w:rPr>
                <w:sz w:val="24"/>
                <w:szCs w:val="24"/>
              </w:rPr>
            </w:pPr>
          </w:p>
          <w:p w:rsidR="00333FAA" w:rsidRPr="00D47AA9" w:rsidRDefault="00333FAA" w:rsidP="00D47AA9">
            <w:pPr>
              <w:pStyle w:val="Infotext"/>
              <w:spacing w:before="120"/>
              <w:rPr>
                <w:i/>
                <w:sz w:val="24"/>
                <w:szCs w:val="24"/>
              </w:rPr>
            </w:pPr>
            <w:r w:rsidRPr="00D47AA9">
              <w:rPr>
                <w:b/>
                <w:sz w:val="24"/>
                <w:szCs w:val="24"/>
              </w:rPr>
              <w:t xml:space="preserve">NO, as it impacts on all Wards </w:t>
            </w:r>
          </w:p>
        </w:tc>
      </w:tr>
      <w:tr w:rsidR="00333FAA" w:rsidRPr="00303FD6">
        <w:trPr>
          <w:trHeight w:val="965"/>
        </w:trPr>
        <w:tc>
          <w:tcPr>
            <w:tcW w:w="3025" w:type="pct"/>
            <w:tcBorders>
              <w:right w:val="nil"/>
            </w:tcBorders>
          </w:tcPr>
          <w:p w:rsidR="00333FAA" w:rsidRPr="00D47AA9" w:rsidRDefault="00333FAA" w:rsidP="00A53B04">
            <w:pPr>
              <w:pStyle w:val="Infotext"/>
              <w:rPr>
                <w:rFonts w:ascii="Arial Black" w:hAnsi="Arial Black"/>
                <w:sz w:val="24"/>
                <w:szCs w:val="24"/>
              </w:rPr>
            </w:pPr>
            <w:proofErr w:type="spellStart"/>
            <w:r w:rsidRPr="00D47AA9">
              <w:rPr>
                <w:rFonts w:ascii="Arial Black" w:hAnsi="Arial Black"/>
                <w:sz w:val="24"/>
                <w:szCs w:val="24"/>
              </w:rPr>
              <w:t>EqIA</w:t>
            </w:r>
            <w:proofErr w:type="spellEnd"/>
            <w:r w:rsidRPr="00D47AA9">
              <w:rPr>
                <w:rFonts w:ascii="Arial Black" w:hAnsi="Arial Black"/>
                <w:sz w:val="24"/>
                <w:szCs w:val="24"/>
              </w:rPr>
              <w:t xml:space="preserve"> carried out:</w:t>
            </w:r>
          </w:p>
          <w:p w:rsidR="00333FAA" w:rsidRPr="00D47AA9" w:rsidRDefault="00333FAA" w:rsidP="00A53B04">
            <w:pPr>
              <w:pStyle w:val="Infotext"/>
              <w:rPr>
                <w:rFonts w:ascii="Arial Black" w:hAnsi="Arial Black"/>
                <w:sz w:val="24"/>
                <w:szCs w:val="24"/>
              </w:rPr>
            </w:pPr>
          </w:p>
          <w:p w:rsidR="00333FAA" w:rsidRPr="00D47AA9" w:rsidRDefault="00333FAA" w:rsidP="00A53B04">
            <w:pPr>
              <w:pStyle w:val="Infotext"/>
              <w:rPr>
                <w:rFonts w:ascii="Arial Black" w:hAnsi="Arial Black"/>
                <w:color w:val="FF0000"/>
                <w:sz w:val="24"/>
                <w:szCs w:val="24"/>
              </w:rPr>
            </w:pPr>
            <w:proofErr w:type="spellStart"/>
            <w:r w:rsidRPr="00D47AA9">
              <w:rPr>
                <w:rFonts w:ascii="Arial Black" w:hAnsi="Arial Black"/>
                <w:sz w:val="24"/>
                <w:szCs w:val="24"/>
              </w:rPr>
              <w:t>EqIA</w:t>
            </w:r>
            <w:proofErr w:type="spellEnd"/>
            <w:r w:rsidRPr="00D47AA9">
              <w:rPr>
                <w:rFonts w:ascii="Arial Black" w:hAnsi="Arial Black"/>
                <w:sz w:val="24"/>
                <w:szCs w:val="24"/>
              </w:rPr>
              <w:t xml:space="preserve"> cleared by:</w:t>
            </w:r>
          </w:p>
        </w:tc>
        <w:tc>
          <w:tcPr>
            <w:tcW w:w="1975" w:type="pct"/>
            <w:tcBorders>
              <w:left w:val="nil"/>
            </w:tcBorders>
          </w:tcPr>
          <w:p w:rsidR="00333FAA" w:rsidRPr="00D47AA9" w:rsidRDefault="00202D79" w:rsidP="00A53B04">
            <w:pPr>
              <w:pStyle w:val="Infotext"/>
              <w:rPr>
                <w:b/>
                <w:sz w:val="24"/>
                <w:szCs w:val="24"/>
              </w:rPr>
            </w:pPr>
            <w:r w:rsidRPr="00D47AA9">
              <w:rPr>
                <w:b/>
                <w:sz w:val="24"/>
                <w:szCs w:val="24"/>
              </w:rPr>
              <w:t xml:space="preserve"> </w:t>
            </w:r>
            <w:r w:rsidR="00480518" w:rsidRPr="00D47AA9">
              <w:rPr>
                <w:b/>
                <w:sz w:val="24"/>
                <w:szCs w:val="24"/>
              </w:rPr>
              <w:t>NO</w:t>
            </w:r>
          </w:p>
          <w:p w:rsidR="00480518" w:rsidRPr="00D47AA9" w:rsidRDefault="00480518" w:rsidP="00A53B04">
            <w:pPr>
              <w:pStyle w:val="Infotext"/>
              <w:rPr>
                <w:sz w:val="24"/>
                <w:szCs w:val="24"/>
              </w:rPr>
            </w:pPr>
          </w:p>
          <w:p w:rsidR="00333FAA" w:rsidRPr="00D47AA9" w:rsidRDefault="00480518" w:rsidP="00480518">
            <w:pPr>
              <w:pStyle w:val="Infotext"/>
              <w:rPr>
                <w:color w:val="FF0000"/>
                <w:sz w:val="24"/>
                <w:szCs w:val="24"/>
              </w:rPr>
            </w:pPr>
            <w:r w:rsidRPr="00D47AA9">
              <w:rPr>
                <w:sz w:val="24"/>
                <w:szCs w:val="24"/>
              </w:rPr>
              <w:t>Any projects with potential impacts will separately be required to do an impact assessment.</w:t>
            </w:r>
          </w:p>
        </w:tc>
      </w:tr>
    </w:tbl>
    <w:p w:rsidR="00333FAA" w:rsidRDefault="00333FAA" w:rsidP="00333FAA"/>
    <w:p w:rsidR="00333FAA" w:rsidRPr="00C64714" w:rsidRDefault="00333FAA" w:rsidP="00333FAA">
      <w:pPr>
        <w:pStyle w:val="Heading1"/>
        <w:keepNext/>
        <w:rPr>
          <w:sz w:val="24"/>
          <w:szCs w:val="24"/>
        </w:rPr>
      </w:pPr>
      <w:r w:rsidRPr="00C64714">
        <w:rPr>
          <w:sz w:val="24"/>
          <w:szCs w:val="24"/>
        </w:rPr>
        <w:t xml:space="preserve">Section </w:t>
      </w:r>
      <w:r w:rsidR="00A20113" w:rsidRPr="00C64714">
        <w:rPr>
          <w:sz w:val="24"/>
          <w:szCs w:val="24"/>
        </w:rPr>
        <w:t>4</w:t>
      </w:r>
      <w:r w:rsidRPr="00C64714">
        <w:rPr>
          <w:sz w:val="24"/>
          <w:szCs w:val="24"/>
        </w:rPr>
        <w:t xml:space="preserve"> - Contact Details and Background Papers</w:t>
      </w:r>
    </w:p>
    <w:p w:rsidR="00333FAA" w:rsidRDefault="00333FAA" w:rsidP="00333FAA">
      <w:pPr>
        <w:keepNext/>
        <w:rPr>
          <w:rFonts w:cs="Arial"/>
        </w:rPr>
      </w:pPr>
    </w:p>
    <w:p w:rsidR="00480518" w:rsidRPr="00D47AA9" w:rsidRDefault="00333FAA" w:rsidP="00333FAA">
      <w:pPr>
        <w:pStyle w:val="Infotext"/>
        <w:rPr>
          <w:sz w:val="24"/>
          <w:szCs w:val="24"/>
        </w:rPr>
      </w:pPr>
      <w:r w:rsidRPr="00D47AA9">
        <w:rPr>
          <w:b/>
          <w:sz w:val="24"/>
          <w:szCs w:val="24"/>
        </w:rPr>
        <w:t xml:space="preserve">Contact:  </w:t>
      </w:r>
      <w:r w:rsidR="00E23647" w:rsidRPr="00D47AA9">
        <w:rPr>
          <w:b/>
          <w:sz w:val="24"/>
          <w:szCs w:val="24"/>
        </w:rPr>
        <w:t>Sharon Daniels</w:t>
      </w:r>
      <w:r w:rsidR="00480518" w:rsidRPr="00D47AA9">
        <w:rPr>
          <w:sz w:val="24"/>
          <w:szCs w:val="24"/>
        </w:rPr>
        <w:t xml:space="preserve">, </w:t>
      </w:r>
      <w:r w:rsidR="00E23647" w:rsidRPr="00D47AA9">
        <w:rPr>
          <w:sz w:val="24"/>
          <w:szCs w:val="24"/>
        </w:rPr>
        <w:t>Head of Strategic and Technical Finance</w:t>
      </w:r>
      <w:r w:rsidR="00480518" w:rsidRPr="00D47AA9">
        <w:rPr>
          <w:sz w:val="24"/>
          <w:szCs w:val="24"/>
        </w:rPr>
        <w:t xml:space="preserve"> (</w:t>
      </w:r>
      <w:r w:rsidR="00E23647" w:rsidRPr="00D47AA9">
        <w:rPr>
          <w:sz w:val="24"/>
          <w:szCs w:val="24"/>
        </w:rPr>
        <w:t>Deputy S151)</w:t>
      </w:r>
      <w:r w:rsidR="00480518" w:rsidRPr="00D47AA9">
        <w:rPr>
          <w:sz w:val="24"/>
          <w:szCs w:val="24"/>
        </w:rPr>
        <w:t xml:space="preserve"> </w:t>
      </w:r>
    </w:p>
    <w:p w:rsidR="00480518" w:rsidRPr="00D47AA9" w:rsidRDefault="00480518" w:rsidP="00333FAA">
      <w:pPr>
        <w:pStyle w:val="Infotext"/>
        <w:rPr>
          <w:sz w:val="24"/>
          <w:szCs w:val="24"/>
        </w:rPr>
      </w:pPr>
      <w:r w:rsidRPr="00D47AA9">
        <w:rPr>
          <w:sz w:val="24"/>
          <w:szCs w:val="24"/>
        </w:rPr>
        <w:t xml:space="preserve">Email: </w:t>
      </w:r>
      <w:hyperlink r:id="rId14" w:history="1">
        <w:r w:rsidR="00E23647" w:rsidRPr="00D47AA9">
          <w:rPr>
            <w:rStyle w:val="Hyperlink"/>
            <w:sz w:val="24"/>
            <w:szCs w:val="24"/>
          </w:rPr>
          <w:t>sharon.daniels@harrow.gov.uk</w:t>
        </w:r>
      </w:hyperlink>
    </w:p>
    <w:p w:rsidR="00333FAA" w:rsidRDefault="00333FAA" w:rsidP="00333FAA"/>
    <w:p w:rsidR="00333FAA" w:rsidRPr="00DA28F0" w:rsidRDefault="00333FAA" w:rsidP="00333FAA">
      <w:pPr>
        <w:pStyle w:val="Infotext"/>
      </w:pPr>
      <w:r w:rsidRPr="004E47FC">
        <w:rPr>
          <w:b/>
        </w:rPr>
        <w:t xml:space="preserve">Background Papers: </w:t>
      </w:r>
      <w:r w:rsidR="005808FB">
        <w:rPr>
          <w:b/>
        </w:rPr>
        <w:t xml:space="preserve"> </w:t>
      </w:r>
      <w:r w:rsidR="00DA28F0" w:rsidRPr="00DA28F0">
        <w:t>None</w:t>
      </w:r>
    </w:p>
    <w:p w:rsidR="00DA28F0" w:rsidRPr="00480518" w:rsidRDefault="00DA28F0"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554"/>
        <w:gridCol w:w="4259"/>
      </w:tblGrid>
      <w:tr w:rsidR="00333FAA">
        <w:trPr>
          <w:trHeight w:val="965"/>
        </w:trPr>
        <w:tc>
          <w:tcPr>
            <w:tcW w:w="2210" w:type="pct"/>
            <w:tcBorders>
              <w:right w:val="nil"/>
            </w:tcBorders>
          </w:tcPr>
          <w:p w:rsidR="00333FAA" w:rsidRPr="00C64714" w:rsidRDefault="00333FAA" w:rsidP="00A53B04">
            <w:pPr>
              <w:pStyle w:val="Infotext"/>
              <w:rPr>
                <w:rFonts w:ascii="Arial Black" w:hAnsi="Arial Black"/>
                <w:sz w:val="24"/>
                <w:szCs w:val="24"/>
              </w:rPr>
            </w:pPr>
            <w:r w:rsidRPr="00C64714">
              <w:rPr>
                <w:rFonts w:ascii="Arial Black" w:hAnsi="Arial Black"/>
                <w:sz w:val="24"/>
                <w:szCs w:val="24"/>
              </w:rPr>
              <w:t>Call-In Waived by the Chairman of Overview and Scrutiny Committee</w:t>
            </w:r>
          </w:p>
          <w:p w:rsidR="00333FAA" w:rsidRDefault="00333FAA" w:rsidP="00A53B04">
            <w:pPr>
              <w:pStyle w:val="Infotext"/>
            </w:pPr>
          </w:p>
          <w:p w:rsidR="00333FAA" w:rsidRDefault="00333FAA" w:rsidP="00DA28F0">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 xml:space="preserve">NO </w:t>
            </w:r>
          </w:p>
          <w:p w:rsidR="00333FAA" w:rsidRDefault="00333FAA" w:rsidP="00A53B04">
            <w:pPr>
              <w:pStyle w:val="Infotext"/>
            </w:pPr>
          </w:p>
          <w:p w:rsidR="00333FAA" w:rsidRPr="003D78F6" w:rsidRDefault="00333FAA" w:rsidP="00DA28F0">
            <w:pPr>
              <w:pStyle w:val="Infotext"/>
              <w:rPr>
                <w:i/>
                <w:sz w:val="24"/>
                <w:szCs w:val="24"/>
              </w:rPr>
            </w:pPr>
          </w:p>
        </w:tc>
      </w:tr>
    </w:tbl>
    <w:p w:rsidR="00333FAA" w:rsidRDefault="00333FAA" w:rsidP="004F1F58">
      <w:pPr>
        <w:pStyle w:val="Infotext"/>
      </w:pPr>
    </w:p>
    <w:sectPr w:rsidR="00333FAA" w:rsidSect="000E638E">
      <w:headerReference w:type="default" r:id="rId15"/>
      <w:headerReference w:type="first" r:id="rId16"/>
      <w:footerReference w:type="first" r:id="rId17"/>
      <w:pgSz w:w="11909" w:h="16834" w:code="9"/>
      <w:pgMar w:top="720" w:right="1800" w:bottom="1152" w:left="1701"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D7" w:rsidRDefault="003005D7">
      <w:r>
        <w:separator/>
      </w:r>
    </w:p>
  </w:endnote>
  <w:endnote w:type="continuationSeparator" w:id="0">
    <w:p w:rsidR="003005D7" w:rsidRDefault="0030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D7" w:rsidRPr="008C69F5" w:rsidRDefault="003005D7" w:rsidP="00A53B04">
    <w:pPr>
      <w:pStyle w:val="Footer"/>
      <w:jc w:val="right"/>
      <w:rPr>
        <w:rFonts w:cs="Arial"/>
        <w:sz w:val="16"/>
        <w:szCs w:val="16"/>
      </w:rPr>
    </w:pPr>
    <w:r w:rsidRPr="00A22839">
      <w:rPr>
        <w:rFonts w:cs="Arial"/>
        <w:sz w:val="16"/>
        <w:szCs w:val="16"/>
      </w:rPr>
      <w:fldChar w:fldCharType="begin"/>
    </w:r>
    <w:r w:rsidRPr="00A22839">
      <w:rPr>
        <w:rFonts w:cs="Arial"/>
        <w:sz w:val="16"/>
        <w:szCs w:val="16"/>
      </w:rPr>
      <w:instrText xml:space="preserve"> FILENAME \p </w:instrText>
    </w:r>
    <w:r w:rsidRPr="00A22839">
      <w:rPr>
        <w:rFonts w:cs="Arial"/>
        <w:sz w:val="16"/>
        <w:szCs w:val="16"/>
      </w:rPr>
      <w:fldChar w:fldCharType="separate"/>
    </w:r>
    <w:r w:rsidR="00D903B0">
      <w:rPr>
        <w:rFonts w:cs="Arial"/>
        <w:noProof/>
        <w:sz w:val="16"/>
        <w:szCs w:val="16"/>
      </w:rPr>
      <w:t>G:\1 Public\Capital programme\2020-21 to 2022-23\Draft Capital Programme Jan 2020 Cabinet.docx</w:t>
    </w:r>
    <w:r w:rsidRPr="00A22839">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D7" w:rsidRDefault="003005D7">
      <w:r>
        <w:separator/>
      </w:r>
    </w:p>
  </w:footnote>
  <w:footnote w:type="continuationSeparator" w:id="0">
    <w:p w:rsidR="003005D7" w:rsidRDefault="0030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D7" w:rsidRDefault="00300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D7" w:rsidRDefault="00300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A2A5C"/>
    <w:multiLevelType w:val="hybridMultilevel"/>
    <w:tmpl w:val="87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3167EC"/>
    <w:multiLevelType w:val="hybridMultilevel"/>
    <w:tmpl w:val="2B0E2FA4"/>
    <w:lvl w:ilvl="0" w:tplc="EE4097F2">
      <w:start w:val="1"/>
      <w:numFmt w:val="decimal"/>
      <w:lvlText w:val="%1."/>
      <w:lvlJc w:val="left"/>
      <w:pPr>
        <w:tabs>
          <w:tab w:val="num" w:pos="360"/>
        </w:tabs>
        <w:ind w:left="360" w:hanging="360"/>
      </w:pPr>
      <w:rPr>
        <w:rFonts w:cs="Times New Roman"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1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5F17E4"/>
    <w:multiLevelType w:val="hybridMultilevel"/>
    <w:tmpl w:val="A180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37A86152"/>
    <w:multiLevelType w:val="hybridMultilevel"/>
    <w:tmpl w:val="2AE86034"/>
    <w:lvl w:ilvl="0" w:tplc="29CCC330">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9E25B42"/>
    <w:multiLevelType w:val="hybridMultilevel"/>
    <w:tmpl w:val="4738A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022409"/>
    <w:multiLevelType w:val="hybridMultilevel"/>
    <w:tmpl w:val="165050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06A25FC"/>
    <w:multiLevelType w:val="hybridMultilevel"/>
    <w:tmpl w:val="C8ECC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34E2E1A"/>
    <w:multiLevelType w:val="hybridMultilevel"/>
    <w:tmpl w:val="78A488C8"/>
    <w:lvl w:ilvl="0" w:tplc="A6C2E10E">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2">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1D7F85"/>
    <w:multiLevelType w:val="hybridMultilevel"/>
    <w:tmpl w:val="5636CC92"/>
    <w:lvl w:ilvl="0" w:tplc="3ED293E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C120AFF"/>
    <w:multiLevelType w:val="hybridMultilevel"/>
    <w:tmpl w:val="8A1CF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5"/>
  </w:num>
  <w:num w:numId="3">
    <w:abstractNumId w:val="12"/>
  </w:num>
  <w:num w:numId="4">
    <w:abstractNumId w:val="41"/>
  </w:num>
  <w:num w:numId="5">
    <w:abstractNumId w:val="34"/>
  </w:num>
  <w:num w:numId="6">
    <w:abstractNumId w:val="16"/>
  </w:num>
  <w:num w:numId="7">
    <w:abstractNumId w:val="2"/>
  </w:num>
  <w:num w:numId="8">
    <w:abstractNumId w:val="25"/>
  </w:num>
  <w:num w:numId="9">
    <w:abstractNumId w:val="26"/>
  </w:num>
  <w:num w:numId="10">
    <w:abstractNumId w:val="38"/>
  </w:num>
  <w:num w:numId="11">
    <w:abstractNumId w:val="10"/>
  </w:num>
  <w:num w:numId="12">
    <w:abstractNumId w:val="23"/>
  </w:num>
  <w:num w:numId="13">
    <w:abstractNumId w:val="24"/>
  </w:num>
  <w:num w:numId="14">
    <w:abstractNumId w:val="11"/>
  </w:num>
  <w:num w:numId="15">
    <w:abstractNumId w:val="30"/>
  </w:num>
  <w:num w:numId="16">
    <w:abstractNumId w:val="14"/>
  </w:num>
  <w:num w:numId="17">
    <w:abstractNumId w:val="33"/>
  </w:num>
  <w:num w:numId="18">
    <w:abstractNumId w:val="19"/>
  </w:num>
  <w:num w:numId="19">
    <w:abstractNumId w:val="37"/>
  </w:num>
  <w:num w:numId="20">
    <w:abstractNumId w:val="4"/>
  </w:num>
  <w:num w:numId="21">
    <w:abstractNumId w:val="1"/>
  </w:num>
  <w:num w:numId="22">
    <w:abstractNumId w:val="5"/>
  </w:num>
  <w:num w:numId="23">
    <w:abstractNumId w:val="28"/>
  </w:num>
  <w:num w:numId="24">
    <w:abstractNumId w:val="7"/>
  </w:num>
  <w:num w:numId="25">
    <w:abstractNumId w:val="17"/>
  </w:num>
  <w:num w:numId="26">
    <w:abstractNumId w:val="0"/>
  </w:num>
  <w:num w:numId="27">
    <w:abstractNumId w:val="6"/>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9"/>
  </w:num>
  <w:num w:numId="32">
    <w:abstractNumId w:val="40"/>
  </w:num>
  <w:num w:numId="3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15"/>
  </w:num>
  <w:num w:numId="39">
    <w:abstractNumId w:val="2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7"/>
  </w:num>
  <w:num w:numId="44">
    <w:abstractNumId w:val="2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7/11/2015 17:26"/>
  </w:docVars>
  <w:rsids>
    <w:rsidRoot w:val="00333FAA"/>
    <w:rsid w:val="0000089B"/>
    <w:rsid w:val="00012D4E"/>
    <w:rsid w:val="0001568D"/>
    <w:rsid w:val="000232EB"/>
    <w:rsid w:val="0004029A"/>
    <w:rsid w:val="00040D5B"/>
    <w:rsid w:val="000429FF"/>
    <w:rsid w:val="00046DFF"/>
    <w:rsid w:val="0006034E"/>
    <w:rsid w:val="000603F8"/>
    <w:rsid w:val="00063783"/>
    <w:rsid w:val="00072057"/>
    <w:rsid w:val="00072413"/>
    <w:rsid w:val="00073765"/>
    <w:rsid w:val="00081B71"/>
    <w:rsid w:val="0008529A"/>
    <w:rsid w:val="0008612D"/>
    <w:rsid w:val="000864E7"/>
    <w:rsid w:val="00096764"/>
    <w:rsid w:val="000B7580"/>
    <w:rsid w:val="000B788F"/>
    <w:rsid w:val="000C14C9"/>
    <w:rsid w:val="000C1C72"/>
    <w:rsid w:val="000D1B48"/>
    <w:rsid w:val="000D1EBB"/>
    <w:rsid w:val="000D2FDD"/>
    <w:rsid w:val="000D4DCF"/>
    <w:rsid w:val="000E638E"/>
    <w:rsid w:val="000F0E6F"/>
    <w:rsid w:val="00105B2C"/>
    <w:rsid w:val="001161E4"/>
    <w:rsid w:val="00125A26"/>
    <w:rsid w:val="00136F57"/>
    <w:rsid w:val="0015448F"/>
    <w:rsid w:val="001551D4"/>
    <w:rsid w:val="0017619C"/>
    <w:rsid w:val="001840D2"/>
    <w:rsid w:val="001931D8"/>
    <w:rsid w:val="001966D7"/>
    <w:rsid w:val="001A1572"/>
    <w:rsid w:val="001A177F"/>
    <w:rsid w:val="001A6A6D"/>
    <w:rsid w:val="001B7F07"/>
    <w:rsid w:val="001C4D2E"/>
    <w:rsid w:val="001C7E35"/>
    <w:rsid w:val="001D438F"/>
    <w:rsid w:val="001E0DA0"/>
    <w:rsid w:val="001E3C06"/>
    <w:rsid w:val="001E441E"/>
    <w:rsid w:val="001E570C"/>
    <w:rsid w:val="001F0BE9"/>
    <w:rsid w:val="001F1868"/>
    <w:rsid w:val="001F44EC"/>
    <w:rsid w:val="00202D79"/>
    <w:rsid w:val="00205D2F"/>
    <w:rsid w:val="00210415"/>
    <w:rsid w:val="002138BE"/>
    <w:rsid w:val="0021422B"/>
    <w:rsid w:val="00215E8F"/>
    <w:rsid w:val="0023468E"/>
    <w:rsid w:val="002478C4"/>
    <w:rsid w:val="0025315D"/>
    <w:rsid w:val="002548D1"/>
    <w:rsid w:val="00261477"/>
    <w:rsid w:val="002640D2"/>
    <w:rsid w:val="00272CC5"/>
    <w:rsid w:val="0028019B"/>
    <w:rsid w:val="0028164B"/>
    <w:rsid w:val="00285003"/>
    <w:rsid w:val="00296AE6"/>
    <w:rsid w:val="002A4BBF"/>
    <w:rsid w:val="002B54A6"/>
    <w:rsid w:val="002E11D9"/>
    <w:rsid w:val="002F31B1"/>
    <w:rsid w:val="002F3EE9"/>
    <w:rsid w:val="002F7710"/>
    <w:rsid w:val="003005D7"/>
    <w:rsid w:val="00300D7F"/>
    <w:rsid w:val="00311458"/>
    <w:rsid w:val="00315E65"/>
    <w:rsid w:val="00333FAA"/>
    <w:rsid w:val="003355D7"/>
    <w:rsid w:val="0036201C"/>
    <w:rsid w:val="00365F4B"/>
    <w:rsid w:val="00373D62"/>
    <w:rsid w:val="003744D9"/>
    <w:rsid w:val="003856CD"/>
    <w:rsid w:val="00386C14"/>
    <w:rsid w:val="00390AEE"/>
    <w:rsid w:val="00395BE1"/>
    <w:rsid w:val="003B44AD"/>
    <w:rsid w:val="003C7C12"/>
    <w:rsid w:val="003D609A"/>
    <w:rsid w:val="003F3E80"/>
    <w:rsid w:val="00403B00"/>
    <w:rsid w:val="004076C8"/>
    <w:rsid w:val="00421A4C"/>
    <w:rsid w:val="00432899"/>
    <w:rsid w:val="004363F7"/>
    <w:rsid w:val="00437C6B"/>
    <w:rsid w:val="0044355D"/>
    <w:rsid w:val="00461E22"/>
    <w:rsid w:val="0046541C"/>
    <w:rsid w:val="00471B89"/>
    <w:rsid w:val="00471C1F"/>
    <w:rsid w:val="00474D7D"/>
    <w:rsid w:val="00480518"/>
    <w:rsid w:val="00490D23"/>
    <w:rsid w:val="004A7399"/>
    <w:rsid w:val="004A76E0"/>
    <w:rsid w:val="004C0246"/>
    <w:rsid w:val="004D2DA0"/>
    <w:rsid w:val="004E14A4"/>
    <w:rsid w:val="004E72BB"/>
    <w:rsid w:val="004F1F58"/>
    <w:rsid w:val="005145BB"/>
    <w:rsid w:val="005354D0"/>
    <w:rsid w:val="0054590F"/>
    <w:rsid w:val="00547CFA"/>
    <w:rsid w:val="00557940"/>
    <w:rsid w:val="005645A7"/>
    <w:rsid w:val="00566EB8"/>
    <w:rsid w:val="00566F24"/>
    <w:rsid w:val="005718B5"/>
    <w:rsid w:val="00576CCD"/>
    <w:rsid w:val="005808FB"/>
    <w:rsid w:val="0058224A"/>
    <w:rsid w:val="005850FD"/>
    <w:rsid w:val="005867D6"/>
    <w:rsid w:val="005A0FFD"/>
    <w:rsid w:val="005A7232"/>
    <w:rsid w:val="005A7ABA"/>
    <w:rsid w:val="005B17A9"/>
    <w:rsid w:val="005B1B67"/>
    <w:rsid w:val="005B32A5"/>
    <w:rsid w:val="005B3F67"/>
    <w:rsid w:val="005B5926"/>
    <w:rsid w:val="005D6EF5"/>
    <w:rsid w:val="005E1647"/>
    <w:rsid w:val="005E3A10"/>
    <w:rsid w:val="005E7509"/>
    <w:rsid w:val="005F297C"/>
    <w:rsid w:val="006042E5"/>
    <w:rsid w:val="00605ED0"/>
    <w:rsid w:val="00625575"/>
    <w:rsid w:val="00627675"/>
    <w:rsid w:val="006503B0"/>
    <w:rsid w:val="00655044"/>
    <w:rsid w:val="00662C0B"/>
    <w:rsid w:val="00670F17"/>
    <w:rsid w:val="006716D2"/>
    <w:rsid w:val="00693072"/>
    <w:rsid w:val="00696A83"/>
    <w:rsid w:val="006A158C"/>
    <w:rsid w:val="006A7CB2"/>
    <w:rsid w:val="006B5039"/>
    <w:rsid w:val="006C05C6"/>
    <w:rsid w:val="006C27B3"/>
    <w:rsid w:val="006D68FB"/>
    <w:rsid w:val="006F057C"/>
    <w:rsid w:val="006F22DA"/>
    <w:rsid w:val="006F2EB3"/>
    <w:rsid w:val="006F4A1A"/>
    <w:rsid w:val="006F5268"/>
    <w:rsid w:val="006F57C2"/>
    <w:rsid w:val="007010E5"/>
    <w:rsid w:val="00707E76"/>
    <w:rsid w:val="00714BEE"/>
    <w:rsid w:val="00721215"/>
    <w:rsid w:val="00723A07"/>
    <w:rsid w:val="007510B9"/>
    <w:rsid w:val="00781EF2"/>
    <w:rsid w:val="007B23FC"/>
    <w:rsid w:val="007C120B"/>
    <w:rsid w:val="007C49E5"/>
    <w:rsid w:val="007D0C1D"/>
    <w:rsid w:val="007D4DBF"/>
    <w:rsid w:val="007D5637"/>
    <w:rsid w:val="007E4732"/>
    <w:rsid w:val="007F004E"/>
    <w:rsid w:val="007F1122"/>
    <w:rsid w:val="007F4BDA"/>
    <w:rsid w:val="00812901"/>
    <w:rsid w:val="00812ECD"/>
    <w:rsid w:val="00817270"/>
    <w:rsid w:val="00826B9A"/>
    <w:rsid w:val="00835C20"/>
    <w:rsid w:val="008420A0"/>
    <w:rsid w:val="00845E35"/>
    <w:rsid w:val="0085084C"/>
    <w:rsid w:val="008611E5"/>
    <w:rsid w:val="008648EE"/>
    <w:rsid w:val="008916DC"/>
    <w:rsid w:val="008B424C"/>
    <w:rsid w:val="008D49CA"/>
    <w:rsid w:val="008D78F9"/>
    <w:rsid w:val="008E2023"/>
    <w:rsid w:val="008E223F"/>
    <w:rsid w:val="008E224D"/>
    <w:rsid w:val="009047F3"/>
    <w:rsid w:val="00914951"/>
    <w:rsid w:val="009151D2"/>
    <w:rsid w:val="00917738"/>
    <w:rsid w:val="009248A8"/>
    <w:rsid w:val="009334A0"/>
    <w:rsid w:val="009336D7"/>
    <w:rsid w:val="00951BCB"/>
    <w:rsid w:val="00953CF4"/>
    <w:rsid w:val="009556DE"/>
    <w:rsid w:val="00962A6F"/>
    <w:rsid w:val="00977A30"/>
    <w:rsid w:val="00990E9C"/>
    <w:rsid w:val="009B160B"/>
    <w:rsid w:val="009D42A5"/>
    <w:rsid w:val="009D4BC8"/>
    <w:rsid w:val="009D5B8D"/>
    <w:rsid w:val="009D6D4F"/>
    <w:rsid w:val="009F5818"/>
    <w:rsid w:val="00A02D46"/>
    <w:rsid w:val="00A10143"/>
    <w:rsid w:val="00A20113"/>
    <w:rsid w:val="00A22839"/>
    <w:rsid w:val="00A26B10"/>
    <w:rsid w:val="00A3257F"/>
    <w:rsid w:val="00A33185"/>
    <w:rsid w:val="00A41570"/>
    <w:rsid w:val="00A50E50"/>
    <w:rsid w:val="00A53B04"/>
    <w:rsid w:val="00A53B9F"/>
    <w:rsid w:val="00A601DE"/>
    <w:rsid w:val="00A7271A"/>
    <w:rsid w:val="00A81FAE"/>
    <w:rsid w:val="00A82C85"/>
    <w:rsid w:val="00AA280B"/>
    <w:rsid w:val="00AA5479"/>
    <w:rsid w:val="00AA5CE1"/>
    <w:rsid w:val="00AA656F"/>
    <w:rsid w:val="00AB057C"/>
    <w:rsid w:val="00AB4880"/>
    <w:rsid w:val="00AB795F"/>
    <w:rsid w:val="00AC6312"/>
    <w:rsid w:val="00AD0694"/>
    <w:rsid w:val="00AD1C24"/>
    <w:rsid w:val="00AD4F8B"/>
    <w:rsid w:val="00AD6081"/>
    <w:rsid w:val="00B1160D"/>
    <w:rsid w:val="00B14937"/>
    <w:rsid w:val="00B16D25"/>
    <w:rsid w:val="00B17D40"/>
    <w:rsid w:val="00B20B40"/>
    <w:rsid w:val="00B335AC"/>
    <w:rsid w:val="00B37D69"/>
    <w:rsid w:val="00B4220B"/>
    <w:rsid w:val="00B444CE"/>
    <w:rsid w:val="00B44F1D"/>
    <w:rsid w:val="00B45955"/>
    <w:rsid w:val="00B53EFF"/>
    <w:rsid w:val="00B54AFA"/>
    <w:rsid w:val="00B57442"/>
    <w:rsid w:val="00B67C31"/>
    <w:rsid w:val="00B74BEB"/>
    <w:rsid w:val="00B772CA"/>
    <w:rsid w:val="00B804E8"/>
    <w:rsid w:val="00B9038B"/>
    <w:rsid w:val="00BB36D9"/>
    <w:rsid w:val="00BB41B1"/>
    <w:rsid w:val="00BB5180"/>
    <w:rsid w:val="00BC19E9"/>
    <w:rsid w:val="00BC206C"/>
    <w:rsid w:val="00BD2A1F"/>
    <w:rsid w:val="00BD73F2"/>
    <w:rsid w:val="00C00C0D"/>
    <w:rsid w:val="00C01297"/>
    <w:rsid w:val="00C01A35"/>
    <w:rsid w:val="00C05994"/>
    <w:rsid w:val="00C1132B"/>
    <w:rsid w:val="00C333E5"/>
    <w:rsid w:val="00C3471E"/>
    <w:rsid w:val="00C4449F"/>
    <w:rsid w:val="00C50BDF"/>
    <w:rsid w:val="00C57267"/>
    <w:rsid w:val="00C609E9"/>
    <w:rsid w:val="00C64714"/>
    <w:rsid w:val="00C745C3"/>
    <w:rsid w:val="00C90DB3"/>
    <w:rsid w:val="00C9233F"/>
    <w:rsid w:val="00CA62F1"/>
    <w:rsid w:val="00CA7F5A"/>
    <w:rsid w:val="00CB371F"/>
    <w:rsid w:val="00CC690E"/>
    <w:rsid w:val="00CE2756"/>
    <w:rsid w:val="00CE3352"/>
    <w:rsid w:val="00CE724D"/>
    <w:rsid w:val="00CF078D"/>
    <w:rsid w:val="00CF0FC4"/>
    <w:rsid w:val="00CF6932"/>
    <w:rsid w:val="00CF75E9"/>
    <w:rsid w:val="00D14650"/>
    <w:rsid w:val="00D15CFA"/>
    <w:rsid w:val="00D27997"/>
    <w:rsid w:val="00D3162D"/>
    <w:rsid w:val="00D372BF"/>
    <w:rsid w:val="00D37F2F"/>
    <w:rsid w:val="00D434AC"/>
    <w:rsid w:val="00D47AA9"/>
    <w:rsid w:val="00D64D6B"/>
    <w:rsid w:val="00D71888"/>
    <w:rsid w:val="00D72D2D"/>
    <w:rsid w:val="00D835CF"/>
    <w:rsid w:val="00D851C2"/>
    <w:rsid w:val="00D903B0"/>
    <w:rsid w:val="00D90A37"/>
    <w:rsid w:val="00DA26FB"/>
    <w:rsid w:val="00DA28F0"/>
    <w:rsid w:val="00DB0292"/>
    <w:rsid w:val="00DB6C3D"/>
    <w:rsid w:val="00DC5ACF"/>
    <w:rsid w:val="00DD2361"/>
    <w:rsid w:val="00DD5CA2"/>
    <w:rsid w:val="00DD6897"/>
    <w:rsid w:val="00DE6A36"/>
    <w:rsid w:val="00DE71D3"/>
    <w:rsid w:val="00DF08A0"/>
    <w:rsid w:val="00DF0973"/>
    <w:rsid w:val="00E21E6B"/>
    <w:rsid w:val="00E23647"/>
    <w:rsid w:val="00E25090"/>
    <w:rsid w:val="00E346B3"/>
    <w:rsid w:val="00E41365"/>
    <w:rsid w:val="00E45B3B"/>
    <w:rsid w:val="00E6003D"/>
    <w:rsid w:val="00E80B8B"/>
    <w:rsid w:val="00E821A4"/>
    <w:rsid w:val="00E8313E"/>
    <w:rsid w:val="00E84F43"/>
    <w:rsid w:val="00E856A8"/>
    <w:rsid w:val="00E90F74"/>
    <w:rsid w:val="00E919C9"/>
    <w:rsid w:val="00E91F9C"/>
    <w:rsid w:val="00E92F38"/>
    <w:rsid w:val="00EA216C"/>
    <w:rsid w:val="00EB0149"/>
    <w:rsid w:val="00EB5E57"/>
    <w:rsid w:val="00EB61E1"/>
    <w:rsid w:val="00EE6763"/>
    <w:rsid w:val="00F0366D"/>
    <w:rsid w:val="00F36169"/>
    <w:rsid w:val="00F40533"/>
    <w:rsid w:val="00F5649A"/>
    <w:rsid w:val="00F70007"/>
    <w:rsid w:val="00F82342"/>
    <w:rsid w:val="00F91AE4"/>
    <w:rsid w:val="00FA1D36"/>
    <w:rsid w:val="00FA2BD2"/>
    <w:rsid w:val="00FA541D"/>
    <w:rsid w:val="00FB1231"/>
    <w:rsid w:val="00FB51BC"/>
    <w:rsid w:val="00FC2CCF"/>
    <w:rsid w:val="00FD0305"/>
    <w:rsid w:val="00FE17E2"/>
    <w:rsid w:val="00FE40AF"/>
    <w:rsid w:val="00FE4454"/>
    <w:rsid w:val="00FE52A8"/>
    <w:rsid w:val="00FF3DB3"/>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306132402">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haron.daniels@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3B78-A134-4A96-94AC-7D764009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2415</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15377</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Alison Atherton</cp:lastModifiedBy>
  <cp:revision>3</cp:revision>
  <cp:lastPrinted>2019-12-05T16:53:00Z</cp:lastPrinted>
  <dcterms:created xsi:type="dcterms:W3CDTF">2019-12-20T11:40:00Z</dcterms:created>
  <dcterms:modified xsi:type="dcterms:W3CDTF">2019-12-20T11:42:00Z</dcterms:modified>
</cp:coreProperties>
</file>